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i w:val="1"/>
        </w:rPr>
      </w:pPr>
      <w:hyperlink w:anchor="hstjcfaq14u7">
        <w:r w:rsidDel="00000000" w:rsidR="00000000" w:rsidRPr="00000000">
          <w:rPr>
            <w:rFonts w:ascii="Lato" w:cs="Lato" w:eastAsia="Lato" w:hAnsi="Lato"/>
            <w:i w:val="1"/>
            <w:color w:val="1155cc"/>
            <w:u w:val="single"/>
            <w:rtl w:val="0"/>
          </w:rPr>
          <w:t xml:space="preserve">Click here to access the press release in Spanish</w:t>
        </w:r>
      </w:hyperlink>
      <w:r w:rsidDel="00000000" w:rsidR="00000000" w:rsidRPr="00000000">
        <w:rPr>
          <w:rFonts w:ascii="Lato" w:cs="Lato" w:eastAsia="Lato" w:hAnsi="Lato"/>
          <w:i w:val="1"/>
          <w:rtl w:val="0"/>
        </w:rPr>
        <w:br w:type="textWrapp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Lato" w:cs="Lato" w:eastAsia="Lato" w:hAnsi="Lato"/>
        </w:rPr>
      </w:pPr>
      <w:r w:rsidDel="00000000" w:rsidR="00000000" w:rsidRPr="00000000">
        <w:rPr>
          <w:rFonts w:ascii="Lato" w:cs="Lato" w:eastAsia="Lato" w:hAnsi="Lato"/>
          <w:b w:val="1"/>
          <w:rtl w:val="0"/>
        </w:rPr>
        <w:t xml:space="preserve">PRESS RELEASE</w:t>
      </w:r>
      <w:r w:rsidDel="00000000" w:rsidR="00000000" w:rsidRPr="00000000">
        <w:rPr>
          <w:rFonts w:ascii="Lato" w:cs="Lato" w:eastAsia="Lato" w:hAnsi="Lato"/>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Lato" w:cs="Lato" w:eastAsia="Lato" w:hAnsi="Lato"/>
          <w:color w:val="ff0000"/>
        </w:rPr>
      </w:pPr>
      <w:r w:rsidDel="00000000" w:rsidR="00000000" w:rsidRPr="00000000">
        <w:rPr>
          <w:rFonts w:ascii="Lato" w:cs="Lato" w:eastAsia="Lato" w:hAnsi="Lato"/>
          <w:b w:val="1"/>
          <w:color w:val="ff0000"/>
          <w:rtl w:val="0"/>
        </w:rPr>
        <w:t xml:space="preserve">for immediate release</w:t>
      </w:r>
      <w:r w:rsidDel="00000000" w:rsidR="00000000" w:rsidRPr="00000000">
        <w:rPr>
          <w:rFonts w:ascii="Lato" w:cs="Lato" w:eastAsia="Lato" w:hAnsi="Lato"/>
          <w:color w:val="ff0000"/>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Lato" w:cs="Lato" w:eastAsia="Lato" w:hAnsi="Lato"/>
          <w:color w:val="ff0000"/>
        </w:rPr>
      </w:pPr>
      <w:r w:rsidDel="00000000" w:rsidR="00000000" w:rsidRPr="00000000">
        <w:rPr>
          <w:rFonts w:ascii="Lato" w:cs="Lato" w:eastAsia="Lato" w:hAnsi="Lato"/>
          <w:b w:val="1"/>
          <w:color w:val="ff0000"/>
          <w:rtl w:val="0"/>
        </w:rPr>
        <w:t xml:space="preserve"> </w:t>
      </w:r>
      <w:r w:rsidDel="00000000" w:rsidR="00000000" w:rsidRPr="00000000">
        <w:rPr>
          <w:rFonts w:ascii="Lato" w:cs="Lato" w:eastAsia="Lato" w:hAnsi="Lato"/>
          <w:color w:val="ff0000"/>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Lato" w:cs="Lato" w:eastAsia="Lato" w:hAnsi="Lato"/>
          <w:b w:val="1"/>
          <w:color w:val="703cee"/>
          <w:sz w:val="32"/>
          <w:szCs w:val="32"/>
        </w:rPr>
      </w:pPr>
      <w:r w:rsidDel="00000000" w:rsidR="00000000" w:rsidRPr="00000000">
        <w:rPr>
          <w:rFonts w:ascii="Lato" w:cs="Lato" w:eastAsia="Lato" w:hAnsi="Lato"/>
          <w:b w:val="1"/>
          <w:color w:val="703cee"/>
          <w:sz w:val="32"/>
          <w:szCs w:val="32"/>
          <w:rtl w:val="0"/>
        </w:rPr>
        <w:t xml:space="preserve">United Nations: </w:t>
      </w:r>
      <w:r w:rsidDel="00000000" w:rsidR="00000000" w:rsidRPr="00000000">
        <w:rPr>
          <w:rFonts w:ascii="Lato" w:cs="Lato" w:eastAsia="Lato" w:hAnsi="Lato"/>
          <w:b w:val="1"/>
          <w:color w:val="703cee"/>
          <w:sz w:val="32"/>
          <w:szCs w:val="32"/>
          <w:rtl w:val="0"/>
        </w:rPr>
        <w:t xml:space="preserve">2</w:t>
      </w:r>
      <w:r w:rsidDel="00000000" w:rsidR="00000000" w:rsidRPr="00000000">
        <w:rPr>
          <w:rFonts w:ascii="Lato" w:cs="Lato" w:eastAsia="Lato" w:hAnsi="Lato"/>
          <w:b w:val="1"/>
          <w:color w:val="703cee"/>
          <w:sz w:val="32"/>
          <w:szCs w:val="32"/>
          <w:rtl w:val="0"/>
        </w:rPr>
        <w:t xml:space="preserve">8 States call for legal gender recognition based on</w:t>
      </w:r>
      <w:r w:rsidDel="00000000" w:rsidR="00000000" w:rsidRPr="00000000">
        <w:rPr>
          <w:rFonts w:ascii="Lato" w:cs="Lato" w:eastAsia="Lato" w:hAnsi="Lato"/>
          <w:b w:val="1"/>
          <w:color w:val="703cee"/>
          <w:sz w:val="32"/>
          <w:szCs w:val="32"/>
          <w:rtl w:val="0"/>
        </w:rPr>
        <w:t xml:space="preserve"> self-identification </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08">
      <w:pPr>
        <w:numPr>
          <w:ilvl w:val="0"/>
          <w:numId w:val="5"/>
        </w:numPr>
        <w:pBdr>
          <w:top w:color="auto" w:space="0" w:sz="0" w:val="none"/>
          <w:bottom w:color="auto" w:space="0" w:sz="0" w:val="none"/>
          <w:right w:color="auto" w:space="0" w:sz="0" w:val="none"/>
          <w:between w:color="auto" w:space="0" w:sz="0" w:val="none"/>
        </w:pBdr>
        <w:spacing w:line="240" w:lineRule="auto"/>
        <w:ind w:left="1080" w:hanging="360"/>
        <w:rPr>
          <w:rFonts w:ascii="Lato" w:cs="Lato" w:eastAsia="Lato" w:hAnsi="Lato"/>
          <w:sz w:val="22"/>
          <w:szCs w:val="22"/>
        </w:rPr>
      </w:pPr>
      <w:r w:rsidDel="00000000" w:rsidR="00000000" w:rsidRPr="00000000">
        <w:rPr>
          <w:rFonts w:ascii="Lato" w:cs="Lato" w:eastAsia="Lato" w:hAnsi="Lato"/>
          <w:i w:val="1"/>
          <w:rtl w:val="0"/>
        </w:rPr>
        <w:t xml:space="preserve">Cross-regional group of countries calls on UN Member States to implement laws and policies that allow the recognition of gender identity based on self-identification</w:t>
      </w:r>
      <w:r w:rsidDel="00000000" w:rsidR="00000000" w:rsidRPr="00000000">
        <w:rPr>
          <w:rFonts w:ascii="Lato" w:cs="Lato" w:eastAsia="Lato" w:hAnsi="Lato"/>
          <w:rtl w:val="0"/>
        </w:rPr>
        <w:t xml:space="preserve"> </w:t>
        <w:br w:type="textWrapping"/>
        <w:t xml:space="preserve"> </w:t>
      </w:r>
    </w:p>
    <w:p w:rsidR="00000000" w:rsidDel="00000000" w:rsidP="00000000" w:rsidRDefault="00000000" w:rsidRPr="00000000" w14:paraId="00000009">
      <w:pPr>
        <w:numPr>
          <w:ilvl w:val="0"/>
          <w:numId w:val="5"/>
        </w:numPr>
        <w:pBdr>
          <w:top w:color="auto" w:space="0" w:sz="0" w:val="none"/>
          <w:bottom w:color="auto" w:space="0" w:sz="0" w:val="none"/>
          <w:right w:color="auto" w:space="0" w:sz="0" w:val="none"/>
          <w:between w:color="auto" w:space="0" w:sz="0" w:val="none"/>
        </w:pBdr>
        <w:spacing w:line="240" w:lineRule="auto"/>
        <w:ind w:left="1080" w:hanging="360"/>
        <w:rPr>
          <w:rFonts w:ascii="Lato" w:cs="Lato" w:eastAsia="Lato" w:hAnsi="Lato"/>
          <w:sz w:val="22"/>
          <w:szCs w:val="22"/>
        </w:rPr>
      </w:pPr>
      <w:r w:rsidDel="00000000" w:rsidR="00000000" w:rsidRPr="00000000">
        <w:rPr>
          <w:rFonts w:ascii="Lato" w:cs="Lato" w:eastAsia="Lato" w:hAnsi="Lato"/>
          <w:i w:val="1"/>
          <w:rtl w:val="0"/>
        </w:rPr>
        <w:t xml:space="preserve">“Without the full realisation of the right to bodily autonomy, the health, lives, human rights and well-being of all women and girls are on the line”, </w:t>
      </w:r>
      <w:r w:rsidDel="00000000" w:rsidR="00000000" w:rsidRPr="00000000">
        <w:rPr>
          <w:rFonts w:ascii="Lato" w:cs="Lato" w:eastAsia="Lato" w:hAnsi="Lato"/>
          <w:i w:val="1"/>
          <w:rtl w:val="0"/>
        </w:rPr>
        <w:t xml:space="preserve">6</w:t>
      </w:r>
      <w:r w:rsidDel="00000000" w:rsidR="00000000" w:rsidRPr="00000000">
        <w:rPr>
          <w:rFonts w:ascii="Lato" w:cs="Lato" w:eastAsia="Lato" w:hAnsi="Lato"/>
          <w:i w:val="1"/>
          <w:rtl w:val="0"/>
        </w:rPr>
        <w:t xml:space="preserve">5 civil society organisations tell the UN Human Rights Council</w:t>
      </w:r>
      <w:r w:rsidDel="00000000" w:rsidR="00000000" w:rsidRPr="00000000">
        <w:rPr>
          <w:rFonts w:ascii="Lato" w:cs="Lato" w:eastAsia="Lato" w:hAnsi="Lato"/>
          <w:rtl w:val="0"/>
        </w:rPr>
        <w:t xml:space="preserve"> </w:t>
        <w:br w:type="textWrapping"/>
        <w:t xml:space="preserve">  </w:t>
        <w:br w:type="textWrapping"/>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i w:val="1"/>
          <w:rtl w:val="0"/>
        </w:rPr>
        <w:t xml:space="preserve">Geneva, 29 March 2023</w:t>
      </w:r>
      <w:r w:rsidDel="00000000" w:rsidR="00000000" w:rsidRPr="00000000">
        <w:rPr>
          <w:rFonts w:ascii="Lato" w:cs="Lato" w:eastAsia="Lato" w:hAnsi="Lato"/>
          <w:rtl w:val="0"/>
        </w:rPr>
        <w:t xml:space="preserve"> – For the first time at the United Nations, a cross-regional group of </w:t>
      </w:r>
      <w:r w:rsidDel="00000000" w:rsidR="00000000" w:rsidRPr="00000000">
        <w:rPr>
          <w:rFonts w:ascii="Lato" w:cs="Lato" w:eastAsia="Lato" w:hAnsi="Lato"/>
          <w:rtl w:val="0"/>
        </w:rPr>
        <w:t xml:space="preserve">2</w:t>
      </w:r>
      <w:r w:rsidDel="00000000" w:rsidR="00000000" w:rsidRPr="00000000">
        <w:rPr>
          <w:rFonts w:ascii="Lato" w:cs="Lato" w:eastAsia="Lato" w:hAnsi="Lato"/>
          <w:rtl w:val="0"/>
        </w:rPr>
        <w:t xml:space="preserve">8 countries has called for laws and policies that allow legal gender recognition based on self-identification.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The term “legal gender recognition” defines laws, administrative procedures, or processes by which a person can change their legal sex/gender marker and name on official identity documents. In most countries, these processes include abusive requirements such as undergoing surgical, hormonal, or sterilisation interventions, forcibly divorcing from one’s partner, not having dependent children, being kept in psychiatric facilities, passing a “real-life test”, and more. A model for legal gender recognition based on self-determination, on the other hand, allows people to obtain identity documents that match their gender identity and expression without going through abusive requirements. </w:t>
      </w:r>
      <w:r w:rsidDel="00000000" w:rsidR="00000000" w:rsidRPr="00000000">
        <w:rPr>
          <w:rFonts w:ascii="Calibri" w:cs="Calibri" w:eastAsia="Calibri" w:hAnsi="Calibri"/>
          <w:sz w:val="24"/>
          <w:szCs w:val="24"/>
          <w:rtl w:val="0"/>
        </w:rPr>
        <w:t xml:space="preserve">This reduces the discrimination, harassment, and violence faced by trans people in various aspects of their lives. It also provides trans individuals access to healthcare, education, employment, housing, and other basic rights that may otherwise be denied to them due to their gender identity.</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Human rights are universal, inalienable and indivisible</w:t>
      </w:r>
      <w:r w:rsidDel="00000000" w:rsidR="00000000" w:rsidRPr="00000000">
        <w:rPr>
          <w:rFonts w:ascii="Lato" w:cs="Lato" w:eastAsia="Lato" w:hAnsi="Lato"/>
          <w:rtl w:val="0"/>
        </w:rPr>
        <w:t xml:space="preserve">”, </w:t>
      </w:r>
      <w:hyperlink r:id="rId6">
        <w:r w:rsidDel="00000000" w:rsidR="00000000" w:rsidRPr="00000000">
          <w:rPr>
            <w:rFonts w:ascii="Lato" w:cs="Lato" w:eastAsia="Lato" w:hAnsi="Lato"/>
            <w:color w:val="1155cc"/>
            <w:u w:val="single"/>
            <w:rtl w:val="0"/>
          </w:rPr>
          <w:t xml:space="preserve">Argentina told the Human Rights Council</w:t>
        </w:r>
      </w:hyperlink>
      <w:hyperlink r:id="rId7">
        <w:r w:rsidDel="00000000" w:rsidR="00000000" w:rsidRPr="00000000">
          <w:rPr>
            <w:rFonts w:ascii="Lato" w:cs="Lato" w:eastAsia="Lato" w:hAnsi="Lato"/>
            <w:color w:val="1155cc"/>
            <w:u w:val="single"/>
            <w:rtl w:val="0"/>
          </w:rPr>
          <w:t xml:space="preserve"> on behalf of </w:t>
        </w:r>
      </w:hyperlink>
      <w:hyperlink r:id="rId8">
        <w:r w:rsidDel="00000000" w:rsidR="00000000" w:rsidRPr="00000000">
          <w:rPr>
            <w:rFonts w:ascii="Lato" w:cs="Lato" w:eastAsia="Lato" w:hAnsi="Lato"/>
            <w:color w:val="1155cc"/>
            <w:u w:val="single"/>
            <w:rtl w:val="0"/>
          </w:rPr>
          <w:t xml:space="preserve">2</w:t>
        </w:r>
      </w:hyperlink>
      <w:hyperlink r:id="rId9">
        <w:r w:rsidDel="00000000" w:rsidR="00000000" w:rsidRPr="00000000">
          <w:rPr>
            <w:rFonts w:ascii="Lato" w:cs="Lato" w:eastAsia="Lato" w:hAnsi="Lato"/>
            <w:color w:val="1155cc"/>
            <w:u w:val="single"/>
            <w:rtl w:val="0"/>
          </w:rPr>
          <w:t xml:space="preserve">8 States</w:t>
        </w:r>
      </w:hyperlink>
      <w:r w:rsidDel="00000000" w:rsidR="00000000" w:rsidRPr="00000000">
        <w:rPr>
          <w:rFonts w:ascii="Lato" w:cs="Lato" w:eastAsia="Lato" w:hAnsi="Lato"/>
          <w:rtl w:val="0"/>
        </w:rPr>
        <w:t xml:space="preserve">. “As such, each person’s self-defined gender identity is integral to their personality and a manifestation of self-identification, dignity and freedom.  We strongly support all policies that combat violence and discrimination against all women, and we reiterate that these policies should be based on an intersectional approach, protecting women who are subjected to multiple forms of discrimination - including trans women.”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Countries called on other States to “</w:t>
      </w:r>
      <w:r w:rsidDel="00000000" w:rsidR="00000000" w:rsidRPr="00000000">
        <w:rPr>
          <w:rFonts w:ascii="Lato" w:cs="Lato" w:eastAsia="Lato" w:hAnsi="Lato"/>
          <w:b w:val="1"/>
          <w:rtl w:val="0"/>
        </w:rPr>
        <w:t xml:space="preserve">implement laws and policies that allow the recognition of gender identity based on self-identification</w:t>
      </w:r>
      <w:r w:rsidDel="00000000" w:rsidR="00000000" w:rsidRPr="00000000">
        <w:rPr>
          <w:rFonts w:ascii="Lato" w:cs="Lato" w:eastAsia="Lato" w:hAnsi="Lato"/>
          <w:rtl w:val="0"/>
        </w:rPr>
        <w:t xml:space="preserve">”, and to “</w:t>
      </w:r>
      <w:r w:rsidDel="00000000" w:rsidR="00000000" w:rsidRPr="00000000">
        <w:rPr>
          <w:rFonts w:ascii="Lato" w:cs="Lato" w:eastAsia="Lato" w:hAnsi="Lato"/>
          <w:b w:val="1"/>
          <w:rtl w:val="0"/>
        </w:rPr>
        <w:t xml:space="preserve">redouble efforts to prevent and respond to sexual and gender-based violence and discrimination</w:t>
      </w:r>
      <w:r w:rsidDel="00000000" w:rsidR="00000000" w:rsidRPr="00000000">
        <w:rPr>
          <w:rFonts w:ascii="Lato" w:cs="Lato" w:eastAsia="Lato" w:hAnsi="Lato"/>
          <w:rtl w:val="0"/>
        </w:rPr>
        <w:t xml:space="preserve">, including against women in all their diversity.” They also pointed out how “many UN, as well as regional human rights mechanisms, have recognised that self-identification is fundamental to safeguarding one’s autonomy and dignity and that it is in line with international human rights standards on gender recognition.”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b w:val="1"/>
          <w:rtl w:val="0"/>
        </w:rPr>
        <w:t xml:space="preserve">These words mark another milestone for the human rights movement</w:t>
      </w:r>
      <w:r w:rsidDel="00000000" w:rsidR="00000000" w:rsidRPr="00000000">
        <w:rPr>
          <w:rFonts w:ascii="Lato" w:cs="Lato" w:eastAsia="Lato" w:hAnsi="Lato"/>
          <w:rtl w:val="0"/>
        </w:rPr>
        <w:t xml:space="preserve">. For years, civil society has worked to make sure that States could listen to the voices of people with diverse gender identities and expressions, and recognise the historic injustices that this population keeps facing every day.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Their tireless advocacy has prompted more States and human rights bodies to speak up. For years, UN human rights bodies have referenced gender identity and expression issues in their recommendations to States.</w:t>
      </w:r>
      <w:hyperlink r:id="rId10">
        <w:r w:rsidDel="00000000" w:rsidR="00000000" w:rsidRPr="00000000">
          <w:rPr>
            <w:rFonts w:ascii="Lato" w:cs="Lato" w:eastAsia="Lato" w:hAnsi="Lato"/>
            <w:color w:val="1155cc"/>
            <w:u w:val="single"/>
            <w:rtl w:val="0"/>
          </w:rPr>
          <w:t xml:space="preserve"> In a historic first, in 2021</w:t>
        </w:r>
      </w:hyperlink>
      <w:r w:rsidDel="00000000" w:rsidR="00000000" w:rsidRPr="00000000">
        <w:rPr>
          <w:rFonts w:ascii="Lato" w:cs="Lato" w:eastAsia="Lato" w:hAnsi="Lato"/>
          <w:rtl w:val="0"/>
        </w:rPr>
        <w:t xml:space="preserve">, 27 States called on the United Nations Human Rights Council to urgently protect the human rights of trans people, especially trans women.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b w:val="1"/>
          <w:rtl w:val="0"/>
        </w:rPr>
        <w:t xml:space="preserve">Civil society from across the world has also spoken today at the UN Human Rights Council: </w:t>
      </w: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5 organisations</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welcomed the recent initiatives by States</w:t>
      </w:r>
      <w:r w:rsidDel="00000000" w:rsidR="00000000" w:rsidRPr="00000000">
        <w:rPr>
          <w:rFonts w:ascii="Lato" w:cs="Lato" w:eastAsia="Lato" w:hAnsi="Lato"/>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“Self-determination is a corollary of the right to bodily autonomy and integrity, a right that has been long and hard fought for by feminist human rights defenders, lawyers, physicians and experts across the globe,” </w:t>
      </w:r>
      <w:hyperlink r:id="rId11">
        <w:r w:rsidDel="00000000" w:rsidR="00000000" w:rsidRPr="00000000">
          <w:rPr>
            <w:rFonts w:ascii="Lato" w:cs="Lato" w:eastAsia="Lato" w:hAnsi="Lato"/>
            <w:color w:val="1155cc"/>
            <w:u w:val="single"/>
            <w:rtl w:val="0"/>
          </w:rPr>
          <w:t xml:space="preserve">their statement read</w:t>
        </w:r>
      </w:hyperlink>
      <w:r w:rsidDel="00000000" w:rsidR="00000000" w:rsidRPr="00000000">
        <w:rPr>
          <w:rFonts w:ascii="Lato" w:cs="Lato" w:eastAsia="Lato" w:hAnsi="Lato"/>
          <w:rtl w:val="0"/>
        </w:rPr>
        <w:t xml:space="preserve">. “Without the full realisation of the right to bodily autonomy, the health, lives, human rights and well-being of all women and girls, including trans women, trans youth, and people of diverse sexual orientation, gender identity and expression, and sex characteristics, are on the line.”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b w:val="1"/>
          <w:rtl w:val="0"/>
        </w:rPr>
        <w:t xml:space="preserve">“We call on the members of the Human Rights Council to keep advancing human rights norms for women and girls in all their diversity.”</w:t>
      </w:r>
      <w:r w:rsidDel="00000000" w:rsidR="00000000" w:rsidRPr="00000000">
        <w:rPr>
          <w:rFonts w:ascii="Lato" w:cs="Lato" w:eastAsia="Lato" w:hAnsi="Lato"/>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 ENDS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 </w:t>
        <w:br w:type="textWrapping"/>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This is a joint statement by:</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pacing w:line="240" w:lineRule="auto"/>
        <w:ind w:left="1080" w:hanging="360"/>
        <w:rPr>
          <w:rFonts w:ascii="Lato" w:cs="Lato" w:eastAsia="Lato" w:hAnsi="Lato"/>
          <w:sz w:val="22"/>
          <w:szCs w:val="22"/>
        </w:rPr>
      </w:pPr>
      <w:r w:rsidDel="00000000" w:rsidR="00000000" w:rsidRPr="00000000">
        <w:rPr>
          <w:rFonts w:ascii="Lato" w:cs="Lato" w:eastAsia="Lato" w:hAnsi="Lato"/>
          <w:rtl w:val="0"/>
        </w:rPr>
        <w:t xml:space="preserve">ILGA World </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pacing w:line="240" w:lineRule="auto"/>
        <w:ind w:left="1080" w:hanging="360"/>
        <w:rPr>
          <w:rFonts w:ascii="Lato" w:cs="Lato" w:eastAsia="Lato" w:hAnsi="Lato"/>
          <w:sz w:val="22"/>
          <w:szCs w:val="22"/>
        </w:rPr>
      </w:pPr>
      <w:r w:rsidDel="00000000" w:rsidR="00000000" w:rsidRPr="00000000">
        <w:rPr>
          <w:rFonts w:ascii="Lato" w:cs="Lato" w:eastAsia="Lato" w:hAnsi="Lato"/>
          <w:rtl w:val="0"/>
        </w:rPr>
        <w:t xml:space="preserve">TGEU </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pacing w:line="240" w:lineRule="auto"/>
        <w:ind w:left="1080" w:hanging="360"/>
        <w:rPr>
          <w:rFonts w:ascii="Lato" w:cs="Lato" w:eastAsia="Lato" w:hAnsi="Lato"/>
          <w:sz w:val="22"/>
          <w:szCs w:val="22"/>
        </w:rPr>
      </w:pPr>
      <w:r w:rsidDel="00000000" w:rsidR="00000000" w:rsidRPr="00000000">
        <w:rPr>
          <w:rFonts w:ascii="Lato" w:cs="Lato" w:eastAsia="Lato" w:hAnsi="Lato"/>
          <w:rtl w:val="0"/>
        </w:rPr>
        <w:t xml:space="preserve">GATE - Global Action for Trans Equality</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line="240" w:lineRule="auto"/>
        <w:ind w:left="1080" w:hanging="360"/>
        <w:rPr>
          <w:rFonts w:ascii="Lato" w:cs="Lato" w:eastAsia="Lato" w:hAnsi="Lato"/>
          <w:sz w:val="22"/>
          <w:szCs w:val="22"/>
        </w:rPr>
      </w:pPr>
      <w:r w:rsidDel="00000000" w:rsidR="00000000" w:rsidRPr="00000000">
        <w:rPr>
          <w:rFonts w:ascii="Lato" w:cs="Lato" w:eastAsia="Lato" w:hAnsi="Lato"/>
          <w:rtl w:val="0"/>
        </w:rPr>
        <w:t xml:space="preserve">RFSL</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line="240" w:lineRule="auto"/>
        <w:ind w:left="1080" w:hanging="360"/>
        <w:rPr>
          <w:rFonts w:ascii="Lato" w:cs="Lato" w:eastAsia="Lato" w:hAnsi="Lato"/>
          <w:u w:val="none"/>
        </w:rPr>
      </w:pPr>
      <w:r w:rsidDel="00000000" w:rsidR="00000000" w:rsidRPr="00000000">
        <w:rPr>
          <w:rFonts w:ascii="Lato" w:cs="Lato" w:eastAsia="Lato" w:hAnsi="Lato"/>
          <w:rtl w:val="0"/>
        </w:rPr>
        <w:t xml:space="preserve">International Women’s Rights Action Watch Asia Pacific (IWRAW AP)</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line="240" w:lineRule="auto"/>
        <w:ind w:left="1080" w:hanging="360"/>
        <w:rPr>
          <w:rFonts w:ascii="Lato" w:cs="Lato" w:eastAsia="Lato" w:hAnsi="Lato"/>
          <w:sz w:val="22"/>
          <w:szCs w:val="22"/>
        </w:rPr>
      </w:pPr>
      <w:r w:rsidDel="00000000" w:rsidR="00000000" w:rsidRPr="00000000">
        <w:rPr>
          <w:rFonts w:ascii="Lato" w:cs="Lato" w:eastAsia="Lato" w:hAnsi="Lato"/>
          <w:rtl w:val="0"/>
        </w:rPr>
        <w:t xml:space="preserve">Center for Reproductive Rights (CRR)</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pacing w:line="240" w:lineRule="auto"/>
        <w:ind w:left="1080" w:hanging="360"/>
        <w:rPr>
          <w:rFonts w:ascii="Lato" w:cs="Lato" w:eastAsia="Lato" w:hAnsi="Lato"/>
          <w:sz w:val="22"/>
          <w:szCs w:val="22"/>
        </w:rPr>
      </w:pPr>
      <w:r w:rsidDel="00000000" w:rsidR="00000000" w:rsidRPr="00000000">
        <w:rPr>
          <w:rFonts w:ascii="Lato" w:cs="Lato" w:eastAsia="Lato" w:hAnsi="Lato"/>
          <w:rtl w:val="0"/>
        </w:rPr>
        <w:t xml:space="preserve">IPPF </w:t>
        <w:br w:type="textWrapping"/>
        <w:t xml:space="preserve">  </w:t>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Media contacts:</w:t>
      </w: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29">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ILGA World: Daniele Paletta (communications manager), </w:t>
      </w:r>
      <w:hyperlink r:id="rId12">
        <w:r w:rsidDel="00000000" w:rsidR="00000000" w:rsidRPr="00000000">
          <w:rPr>
            <w:rFonts w:ascii="Lato" w:cs="Lato" w:eastAsia="Lato" w:hAnsi="Lato"/>
            <w:color w:val="1155cc"/>
            <w:u w:val="single"/>
            <w:rtl w:val="0"/>
          </w:rPr>
          <w:t xml:space="preserve">media@ilga.org</w:t>
        </w:r>
      </w:hyperlink>
      <w:r w:rsidDel="00000000" w:rsidR="00000000" w:rsidRPr="00000000">
        <w:rPr>
          <w:rFonts w:ascii="Lato" w:cs="Lato" w:eastAsia="Lato" w:hAnsi="Lato"/>
          <w:rtl w:val="0"/>
        </w:rPr>
        <w:t xml:space="preserve"> </w:t>
      </w:r>
    </w:p>
    <w:p w:rsidR="00000000" w:rsidDel="00000000" w:rsidP="00000000" w:rsidRDefault="00000000" w:rsidRPr="00000000" w14:paraId="0000002A">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GATE - Global Action for Trans Equality: Naomhán O’Connor, (Communications Manager), </w:t>
      </w:r>
      <w:hyperlink r:id="rId13">
        <w:r w:rsidDel="00000000" w:rsidR="00000000" w:rsidRPr="00000000">
          <w:rPr>
            <w:rFonts w:ascii="Lato" w:cs="Lato" w:eastAsia="Lato" w:hAnsi="Lato"/>
            <w:color w:val="1155cc"/>
            <w:u w:val="single"/>
            <w:rtl w:val="0"/>
          </w:rPr>
          <w:t xml:space="preserve">press@gate.ngo</w:t>
        </w:r>
      </w:hyperlink>
      <w:r w:rsidDel="00000000" w:rsidR="00000000" w:rsidRPr="00000000">
        <w:rPr>
          <w:rFonts w:ascii="Lato" w:cs="Lato" w:eastAsia="Lato" w:hAnsi="Lato"/>
          <w:rtl w:val="0"/>
        </w:rPr>
        <w:t xml:space="preserve"> </w:t>
      </w:r>
    </w:p>
    <w:p w:rsidR="00000000" w:rsidDel="00000000" w:rsidP="00000000" w:rsidRDefault="00000000" w:rsidRPr="00000000" w14:paraId="0000002B">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TGEU: </w:t>
      </w:r>
      <w:hyperlink r:id="rId14">
        <w:r w:rsidDel="00000000" w:rsidR="00000000" w:rsidRPr="00000000">
          <w:rPr>
            <w:rFonts w:ascii="Lato" w:cs="Lato" w:eastAsia="Lato" w:hAnsi="Lato"/>
            <w:color w:val="1155cc"/>
            <w:u w:val="single"/>
            <w:rtl w:val="0"/>
          </w:rPr>
          <w:t xml:space="preserve">comms@tgeu.org</w:t>
        </w:r>
      </w:hyperlink>
      <w:r w:rsidDel="00000000" w:rsidR="00000000" w:rsidRPr="00000000">
        <w:rPr>
          <w:rFonts w:ascii="Lato" w:cs="Lato" w:eastAsia="Lato" w:hAnsi="Lato"/>
          <w:rtl w:val="0"/>
        </w:rPr>
        <w:t xml:space="preserve"> </w:t>
      </w:r>
    </w:p>
    <w:p w:rsidR="00000000" w:rsidDel="00000000" w:rsidP="00000000" w:rsidRDefault="00000000" w:rsidRPr="00000000" w14:paraId="0000002C">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IWRAW AP: Pravind Premnath, </w:t>
      </w:r>
      <w:hyperlink r:id="rId15">
        <w:r w:rsidDel="00000000" w:rsidR="00000000" w:rsidRPr="00000000">
          <w:rPr>
            <w:rFonts w:ascii="Lato" w:cs="Lato" w:eastAsia="Lato" w:hAnsi="Lato"/>
            <w:color w:val="1155cc"/>
            <w:u w:val="single"/>
            <w:rtl w:val="0"/>
          </w:rPr>
          <w:t xml:space="preserve">pravind@iwraw-ap.org</w:t>
        </w:r>
      </w:hyperlink>
      <w:r w:rsidDel="00000000" w:rsidR="00000000" w:rsidRPr="00000000">
        <w:rPr>
          <w:rtl w:val="0"/>
        </w:rPr>
      </w:r>
    </w:p>
    <w:p w:rsidR="00000000" w:rsidDel="00000000" w:rsidP="00000000" w:rsidRDefault="00000000" w:rsidRPr="00000000" w14:paraId="0000002D">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CRR: Sarah Kaplan, </w:t>
      </w:r>
      <w:hyperlink r:id="rId16">
        <w:r w:rsidDel="00000000" w:rsidR="00000000" w:rsidRPr="00000000">
          <w:rPr>
            <w:rFonts w:ascii="Lato" w:cs="Lato" w:eastAsia="Lato" w:hAnsi="Lato"/>
            <w:color w:val="1155cc"/>
            <w:u w:val="single"/>
            <w:rtl w:val="0"/>
          </w:rPr>
          <w:t xml:space="preserve">center.press@reprorights.org</w:t>
        </w:r>
      </w:hyperlink>
      <w:r w:rsidDel="00000000" w:rsidR="00000000" w:rsidRPr="00000000">
        <w:rPr>
          <w:rFonts w:ascii="Lato" w:cs="Lato" w:eastAsia="Lato" w:hAnsi="Lato"/>
          <w:rtl w:val="0"/>
        </w:rPr>
        <w:t xml:space="preserve"> </w:t>
        <w:br w:type="textWrapping"/>
        <w:t xml:space="preserve"> </w:t>
        <w:br w:type="textWrapping"/>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b w:val="1"/>
          <w:rtl w:val="0"/>
        </w:rPr>
        <w:t xml:space="preserve">Note:</w:t>
      </w:r>
      <w:r w:rsidDel="00000000" w:rsidR="00000000" w:rsidRPr="00000000">
        <w:rPr>
          <w:rFonts w:ascii="Lato" w:cs="Lato" w:eastAsia="Lato" w:hAnsi="Lato"/>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The number of countries joining the statement may vary due to additional signatories. The current list is available </w:t>
      </w:r>
      <w:hyperlink r:id="rId17">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under the chapter: Item 8: General debate on the follow-up to and implementation of the Vienna Declaration and Programme of Action, 15:00</w:t>
      </w: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w:t>
      </w:r>
      <w:r w:rsidDel="00000000" w:rsidR="00000000" w:rsidRPr="00000000">
        <w:br w:type="page"/>
      </w:r>
      <w:r w:rsidDel="00000000" w:rsidR="00000000" w:rsidRPr="00000000">
        <w:rPr>
          <w:rtl w:val="0"/>
        </w:rPr>
      </w:r>
    </w:p>
    <w:bookmarkStart w:colFirst="0" w:colLast="0" w:name="hstjcfaq14u7" w:id="0"/>
    <w:bookmarkEnd w:id="0"/>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COMUNICADO DE PRENSA</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Lato" w:cs="Lato" w:eastAsia="Lato" w:hAnsi="Lato"/>
        </w:rPr>
      </w:pPr>
      <w:r w:rsidDel="00000000" w:rsidR="00000000" w:rsidRPr="00000000">
        <w:rPr>
          <w:rFonts w:ascii="Lato" w:cs="Lato" w:eastAsia="Lato" w:hAnsi="Lato"/>
          <w:b w:val="1"/>
          <w:color w:val="ff0000"/>
          <w:rtl w:val="0"/>
        </w:rPr>
        <w:t xml:space="preserve">para difusión inmediata</w:t>
      </w:r>
      <w:r w:rsidDel="00000000" w:rsidR="00000000" w:rsidRPr="00000000">
        <w:rPr>
          <w:rtl w:val="0"/>
        </w:rPr>
      </w:r>
    </w:p>
    <w:p w:rsidR="00000000" w:rsidDel="00000000" w:rsidP="00000000" w:rsidRDefault="00000000" w:rsidRPr="00000000" w14:paraId="0000003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3">
      <w:pPr>
        <w:spacing w:line="240" w:lineRule="auto"/>
        <w:jc w:val="center"/>
        <w:rPr>
          <w:rFonts w:ascii="Lato" w:cs="Lato" w:eastAsia="Lato" w:hAnsi="Lato"/>
          <w:b w:val="1"/>
          <w:color w:val="703cee"/>
          <w:sz w:val="32"/>
          <w:szCs w:val="32"/>
        </w:rPr>
      </w:pPr>
      <w:r w:rsidDel="00000000" w:rsidR="00000000" w:rsidRPr="00000000">
        <w:rPr>
          <w:rFonts w:ascii="Lato" w:cs="Lato" w:eastAsia="Lato" w:hAnsi="Lato"/>
          <w:b w:val="1"/>
          <w:color w:val="703cee"/>
          <w:sz w:val="32"/>
          <w:szCs w:val="32"/>
          <w:rtl w:val="0"/>
        </w:rPr>
        <w:t xml:space="preserve">Naciones Unidas: 28 Estados piden el reconocimiento legal del género basado en la autoidentificación</w:t>
      </w:r>
    </w:p>
    <w:p w:rsidR="00000000" w:rsidDel="00000000" w:rsidP="00000000" w:rsidRDefault="00000000" w:rsidRPr="00000000" w14:paraId="00000034">
      <w:pPr>
        <w:spacing w:line="240" w:lineRule="auto"/>
        <w:jc w:val="center"/>
        <w:rPr>
          <w:rFonts w:ascii="Lato" w:cs="Lato" w:eastAsia="Lato" w:hAnsi="Lato"/>
          <w:b w:val="1"/>
          <w:color w:val="703cee"/>
          <w:sz w:val="32"/>
          <w:szCs w:val="32"/>
        </w:rPr>
      </w:pPr>
      <w:r w:rsidDel="00000000" w:rsidR="00000000" w:rsidRPr="00000000">
        <w:rPr>
          <w:rtl w:val="0"/>
        </w:rPr>
      </w:r>
    </w:p>
    <w:p w:rsidR="00000000" w:rsidDel="00000000" w:rsidP="00000000" w:rsidRDefault="00000000" w:rsidRPr="00000000" w14:paraId="00000035">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Un grupo interregional de países pide a los Estados miembros de la ONU que apliquen leyes y políticas que permitan el reconocimiento de la identidad de género basada en la autoidentificación</w:t>
      </w:r>
    </w:p>
    <w:p w:rsidR="00000000" w:rsidDel="00000000" w:rsidP="00000000" w:rsidRDefault="00000000" w:rsidRPr="00000000" w14:paraId="00000036">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"Sin la plena realización del derecho a la autonomía corporal, la salud, la vida, los derechos humanos y el bienestar de todas las mujeres y niñas están en juego", dicen 65 organizaciones de la sociedad civil al Consejo de Derechos Humanos de la ONU</w:t>
      </w:r>
    </w:p>
    <w:p w:rsidR="00000000" w:rsidDel="00000000" w:rsidP="00000000" w:rsidRDefault="00000000" w:rsidRPr="00000000" w14:paraId="0000003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9">
      <w:pPr>
        <w:spacing w:line="240"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3A">
      <w:pPr>
        <w:spacing w:line="240" w:lineRule="auto"/>
        <w:rPr>
          <w:rFonts w:ascii="Lato" w:cs="Lato" w:eastAsia="Lato" w:hAnsi="Lato"/>
        </w:rPr>
      </w:pPr>
      <w:r w:rsidDel="00000000" w:rsidR="00000000" w:rsidRPr="00000000">
        <w:rPr>
          <w:rFonts w:ascii="Lato" w:cs="Lato" w:eastAsia="Lato" w:hAnsi="Lato"/>
          <w:b w:val="1"/>
          <w:rtl w:val="0"/>
        </w:rPr>
        <w:t xml:space="preserve">Ginebra, 29 de marzo de 2023</w:t>
      </w:r>
      <w:r w:rsidDel="00000000" w:rsidR="00000000" w:rsidRPr="00000000">
        <w:rPr>
          <w:rFonts w:ascii="Lato" w:cs="Lato" w:eastAsia="Lato" w:hAnsi="Lato"/>
          <w:rtl w:val="0"/>
        </w:rPr>
        <w:t xml:space="preserve"> - Por primera vez en las Naciones Unidas, un grupo interregional de 28 países ha pedido leyes y políticas que permitan el reconocimiento legal del género basado en la autoidentificación.</w:t>
      </w:r>
    </w:p>
    <w:p w:rsidR="00000000" w:rsidDel="00000000" w:rsidP="00000000" w:rsidRDefault="00000000" w:rsidRPr="00000000" w14:paraId="0000003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C">
      <w:pPr>
        <w:spacing w:line="240" w:lineRule="auto"/>
        <w:rPr>
          <w:rFonts w:ascii="Lato" w:cs="Lato" w:eastAsia="Lato" w:hAnsi="Lato"/>
        </w:rPr>
      </w:pPr>
      <w:r w:rsidDel="00000000" w:rsidR="00000000" w:rsidRPr="00000000">
        <w:rPr>
          <w:rFonts w:ascii="Lato" w:cs="Lato" w:eastAsia="Lato" w:hAnsi="Lato"/>
          <w:rtl w:val="0"/>
        </w:rPr>
        <w:t xml:space="preserve">El término "reconocimiento legal de género" define las leyes, los procedimientos administrativos o los procesos por los que una persona puede cambiar su marcador legal de sexo/género y su nombre en los documentos oficiales de identidad. En la mayoría de los países, estos procesos incluyen requisitos abusivos como someterse a intervenciones quirúrgicas, hormonales o de esterilización, divorciarse a la fuerza de la pareja, no tener hijes a cargo, permanecer en centros psiquiátricos, pasar una "prueba de la vida real", etc. En cambio, un modelo de reconocimiento legal del género basado en la autodeterminación permite a las personas obtener documentos de identidad que se ajusten a su identidad y expresión de género sin pasar por requisitos abusivos. Esto reduce la discriminación, el acoso y la violencia a la que se enfrentan las personas trans en diversos aspectos de sus vidas. También proporciona a las personas trans acceso a la sanidad, la educación, el empleo, la vivienda y otros derechos básicos que, de otro modo, podrían negárseles debido a su identidad de género.</w:t>
      </w:r>
    </w:p>
    <w:p w:rsidR="00000000" w:rsidDel="00000000" w:rsidP="00000000" w:rsidRDefault="00000000" w:rsidRPr="00000000" w14:paraId="0000003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E">
      <w:pPr>
        <w:spacing w:line="240" w:lineRule="auto"/>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Los derechos humanos son universales, inalienables e indivisibles</w:t>
      </w:r>
      <w:r w:rsidDel="00000000" w:rsidR="00000000" w:rsidRPr="00000000">
        <w:rPr>
          <w:rFonts w:ascii="Lato" w:cs="Lato" w:eastAsia="Lato" w:hAnsi="Lato"/>
          <w:rtl w:val="0"/>
        </w:rPr>
        <w:t xml:space="preserve">", </w:t>
      </w:r>
      <w:hyperlink r:id="rId18">
        <w:r w:rsidDel="00000000" w:rsidR="00000000" w:rsidRPr="00000000">
          <w:rPr>
            <w:rFonts w:ascii="Lato" w:cs="Lato" w:eastAsia="Lato" w:hAnsi="Lato"/>
            <w:color w:val="1155cc"/>
            <w:u w:val="single"/>
            <w:rtl w:val="0"/>
          </w:rPr>
          <w:t xml:space="preserve">dijo Argentina al Consejo de Derechos Humanos en nombre de 28 Estados</w:t>
        </w:r>
      </w:hyperlink>
      <w:r w:rsidDel="00000000" w:rsidR="00000000" w:rsidRPr="00000000">
        <w:rPr>
          <w:rFonts w:ascii="Lato" w:cs="Lato" w:eastAsia="Lato" w:hAnsi="Lato"/>
          <w:rtl w:val="0"/>
        </w:rPr>
        <w:t xml:space="preserve">. "Como tal, la identidad de género autodefinida de cada persona es parte integrante de su personalidad y una manifestación de autoidentificación, dignidad y libertad. Apoyamos firmemente todas las políticas que combatan la violencia y la discriminación contra todas las mujeres, y reiteramos que estas políticas deben basarse en un enfoque interseccional, protegiendo a las mujeres que son objeto de múltiples formas de discriminación - incluyendo a las mujeres trans."</w:t>
      </w:r>
    </w:p>
    <w:p w:rsidR="00000000" w:rsidDel="00000000" w:rsidP="00000000" w:rsidRDefault="00000000" w:rsidRPr="00000000" w14:paraId="0000003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rPr>
      </w:pPr>
      <w:r w:rsidDel="00000000" w:rsidR="00000000" w:rsidRPr="00000000">
        <w:rPr>
          <w:rFonts w:ascii="Lato" w:cs="Lato" w:eastAsia="Lato" w:hAnsi="Lato"/>
          <w:rtl w:val="0"/>
        </w:rPr>
        <w:t xml:space="preserve">Los países pidieron a otros Estados que "</w:t>
      </w:r>
      <w:r w:rsidDel="00000000" w:rsidR="00000000" w:rsidRPr="00000000">
        <w:rPr>
          <w:rFonts w:ascii="Lato" w:cs="Lato" w:eastAsia="Lato" w:hAnsi="Lato"/>
          <w:b w:val="1"/>
          <w:rtl w:val="0"/>
        </w:rPr>
        <w:t xml:space="preserve">apliquen leyes y políticas que permitan el reconocimiento de la identidad de género basada en la autoidentificación</w:t>
      </w:r>
      <w:r w:rsidDel="00000000" w:rsidR="00000000" w:rsidRPr="00000000">
        <w:rPr>
          <w:rFonts w:ascii="Lato" w:cs="Lato" w:eastAsia="Lato" w:hAnsi="Lato"/>
          <w:rtl w:val="0"/>
        </w:rPr>
        <w:t xml:space="preserve">", y que "</w:t>
      </w:r>
      <w:r w:rsidDel="00000000" w:rsidR="00000000" w:rsidRPr="00000000">
        <w:rPr>
          <w:rFonts w:ascii="Lato" w:cs="Lato" w:eastAsia="Lato" w:hAnsi="Lato"/>
          <w:b w:val="1"/>
          <w:rtl w:val="0"/>
        </w:rPr>
        <w:t xml:space="preserve">redoblen los esfuerzos para prevenir y responder a la violencia y la discriminación sexual y de género</w:t>
      </w:r>
      <w:r w:rsidDel="00000000" w:rsidR="00000000" w:rsidRPr="00000000">
        <w:rPr>
          <w:rFonts w:ascii="Lato" w:cs="Lato" w:eastAsia="Lato" w:hAnsi="Lato"/>
          <w:rtl w:val="0"/>
        </w:rPr>
        <w:t xml:space="preserve">, incluso contra las mujeres en toda su diversidad". También señalaron cómo "muchos mecanismos de derechos humanos de la ONU, así como regionales, han reconocido que la autoidentificación es fundamental para salvaguardar la propia autonomía y dignidad y que está en consonancia con las normas internacionales de derechos humanos sobre el reconocimiento del género".</w:t>
      </w:r>
    </w:p>
    <w:p w:rsidR="00000000" w:rsidDel="00000000" w:rsidP="00000000" w:rsidRDefault="00000000" w:rsidRPr="00000000" w14:paraId="0000004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2">
      <w:pPr>
        <w:spacing w:line="240" w:lineRule="auto"/>
        <w:rPr>
          <w:rFonts w:ascii="Lato" w:cs="Lato" w:eastAsia="Lato" w:hAnsi="Lato"/>
        </w:rPr>
      </w:pPr>
      <w:r w:rsidDel="00000000" w:rsidR="00000000" w:rsidRPr="00000000">
        <w:rPr>
          <w:rFonts w:ascii="Lato" w:cs="Lato" w:eastAsia="Lato" w:hAnsi="Lato"/>
          <w:b w:val="1"/>
          <w:rtl w:val="0"/>
        </w:rPr>
        <w:t xml:space="preserve">Estas palabras marcan otro hito para el movimiento de derechos humanos</w:t>
      </w:r>
      <w:r w:rsidDel="00000000" w:rsidR="00000000" w:rsidRPr="00000000">
        <w:rPr>
          <w:rFonts w:ascii="Lato" w:cs="Lato" w:eastAsia="Lato" w:hAnsi="Lato"/>
          <w:rtl w:val="0"/>
        </w:rPr>
        <w:t xml:space="preserve">. Durante años, la sociedad civil ha trabajado para que los Estados escucharan las voces de las personas con identidades y expresiones de género diversas y reconocieran las injusticias históricas a las que esta población sigue enfrentándose cada día.</w:t>
      </w:r>
    </w:p>
    <w:p w:rsidR="00000000" w:rsidDel="00000000" w:rsidP="00000000" w:rsidRDefault="00000000" w:rsidRPr="00000000" w14:paraId="0000004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4">
      <w:pPr>
        <w:spacing w:line="240" w:lineRule="auto"/>
        <w:rPr>
          <w:rFonts w:ascii="Lato" w:cs="Lato" w:eastAsia="Lato" w:hAnsi="Lato"/>
        </w:rPr>
      </w:pPr>
      <w:r w:rsidDel="00000000" w:rsidR="00000000" w:rsidRPr="00000000">
        <w:rPr>
          <w:rFonts w:ascii="Lato" w:cs="Lato" w:eastAsia="Lato" w:hAnsi="Lato"/>
          <w:rtl w:val="0"/>
        </w:rPr>
        <w:t xml:space="preserve">Su incansable incidencia ha impulsado a más Estados y órganos de derechos humanos a pronunciarse. Durante años, los órganos de derechos humanos de la ONU han hecho referencia a cuestiones de identidad y expresión de género en sus recomendaciones a los Estados. </w:t>
      </w:r>
      <w:hyperlink r:id="rId19">
        <w:r w:rsidDel="00000000" w:rsidR="00000000" w:rsidRPr="00000000">
          <w:rPr>
            <w:rFonts w:ascii="Lato" w:cs="Lato" w:eastAsia="Lato" w:hAnsi="Lato"/>
            <w:color w:val="1155cc"/>
            <w:u w:val="single"/>
            <w:rtl w:val="0"/>
          </w:rPr>
          <w:t xml:space="preserve">En una primicia histórica, en 2021</w:t>
        </w:r>
      </w:hyperlink>
      <w:r w:rsidDel="00000000" w:rsidR="00000000" w:rsidRPr="00000000">
        <w:rPr>
          <w:rFonts w:ascii="Lato" w:cs="Lato" w:eastAsia="Lato" w:hAnsi="Lato"/>
          <w:rtl w:val="0"/>
        </w:rPr>
        <w:t xml:space="preserve">, 27 Estados pidieron al Consejo de Derechos Humanos de las Naciones Unidas que protegiera urgentemente los derechos humanos de las personas trans, especialmente de las mujeres trans.</w:t>
      </w:r>
    </w:p>
    <w:p w:rsidR="00000000" w:rsidDel="00000000" w:rsidP="00000000" w:rsidRDefault="00000000" w:rsidRPr="00000000" w14:paraId="0000004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6">
      <w:pPr>
        <w:spacing w:line="240" w:lineRule="auto"/>
        <w:rPr>
          <w:rFonts w:ascii="Lato" w:cs="Lato" w:eastAsia="Lato" w:hAnsi="Lato"/>
        </w:rPr>
      </w:pPr>
      <w:r w:rsidDel="00000000" w:rsidR="00000000" w:rsidRPr="00000000">
        <w:rPr>
          <w:rFonts w:ascii="Lato" w:cs="Lato" w:eastAsia="Lato" w:hAnsi="Lato"/>
          <w:b w:val="1"/>
          <w:rtl w:val="0"/>
        </w:rPr>
        <w:t xml:space="preserve">La sociedad civil de todo el mundo también se ha pronunciado hoy en el Consejo de Derechos Humanos de la ONU</w:t>
      </w:r>
      <w:r w:rsidDel="00000000" w:rsidR="00000000" w:rsidRPr="00000000">
        <w:rPr>
          <w:rFonts w:ascii="Lato" w:cs="Lato" w:eastAsia="Lato" w:hAnsi="Lato"/>
          <w:rtl w:val="0"/>
        </w:rPr>
        <w:t xml:space="preserve">: 65 organizaciones han acogido con satisfacción las recientes iniciativas de los Estados.</w:t>
      </w:r>
    </w:p>
    <w:p w:rsidR="00000000" w:rsidDel="00000000" w:rsidP="00000000" w:rsidRDefault="00000000" w:rsidRPr="00000000" w14:paraId="0000004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8">
      <w:pPr>
        <w:spacing w:line="240" w:lineRule="auto"/>
        <w:rPr>
          <w:rFonts w:ascii="Lato" w:cs="Lato" w:eastAsia="Lato" w:hAnsi="Lato"/>
        </w:rPr>
      </w:pPr>
      <w:r w:rsidDel="00000000" w:rsidR="00000000" w:rsidRPr="00000000">
        <w:rPr>
          <w:rFonts w:ascii="Lato" w:cs="Lato" w:eastAsia="Lato" w:hAnsi="Lato"/>
          <w:rtl w:val="0"/>
        </w:rPr>
        <w:t xml:space="preserve">“La autodeterminación es un corolario del derecho a la autonomía e integridad corporales, un derecho por el que han luchado mucho y durante mucho tiempo personas defensoras feministas de los derechos humanos, abogadas, médicas y expertas de todo el mundo", </w:t>
      </w:r>
      <w:hyperlink r:id="rId20">
        <w:r w:rsidDel="00000000" w:rsidR="00000000" w:rsidRPr="00000000">
          <w:rPr>
            <w:rFonts w:ascii="Lato" w:cs="Lato" w:eastAsia="Lato" w:hAnsi="Lato"/>
            <w:color w:val="1155cc"/>
            <w:u w:val="single"/>
            <w:rtl w:val="0"/>
          </w:rPr>
          <w:t xml:space="preserve">según su declaración</w:t>
        </w:r>
      </w:hyperlink>
      <w:r w:rsidDel="00000000" w:rsidR="00000000" w:rsidRPr="00000000">
        <w:rPr>
          <w:rFonts w:ascii="Lato" w:cs="Lato" w:eastAsia="Lato" w:hAnsi="Lato"/>
          <w:rtl w:val="0"/>
        </w:rPr>
        <w:t xml:space="preserve">. "Sin la plena realización del derecho a la autonomía corporal, la salud, la vida, los derechos humanos y el bienestar de todas las mujeres y niñas, incluidas las mujeres trans, les jóvenes trans y las personas con orientación sexual, identidad y expresión de género y características sexuales diversas, están en juego."</w:t>
      </w:r>
    </w:p>
    <w:p w:rsidR="00000000" w:rsidDel="00000000" w:rsidP="00000000" w:rsidRDefault="00000000" w:rsidRPr="00000000" w14:paraId="0000004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A">
      <w:pPr>
        <w:spacing w:line="240" w:lineRule="auto"/>
        <w:rPr>
          <w:rFonts w:ascii="Lato" w:cs="Lato" w:eastAsia="Lato" w:hAnsi="Lato"/>
          <w:b w:val="1"/>
        </w:rPr>
      </w:pPr>
      <w:r w:rsidDel="00000000" w:rsidR="00000000" w:rsidRPr="00000000">
        <w:rPr>
          <w:rFonts w:ascii="Lato" w:cs="Lato" w:eastAsia="Lato" w:hAnsi="Lato"/>
          <w:b w:val="1"/>
          <w:rtl w:val="0"/>
        </w:rPr>
        <w:t xml:space="preserve">"Pedimos a los miembros del Consejo de Derechos Humanos que sigan haciendo avanzar las normas de derechos humanos para las mujeres y las niñas en toda su diversidad".</w:t>
      </w:r>
    </w:p>
    <w:p w:rsidR="00000000" w:rsidDel="00000000" w:rsidP="00000000" w:rsidRDefault="00000000" w:rsidRPr="00000000" w14:paraId="0000004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C">
      <w:pPr>
        <w:spacing w:line="240" w:lineRule="auto"/>
        <w:rPr>
          <w:rFonts w:ascii="Lato" w:cs="Lato" w:eastAsia="Lato" w:hAnsi="Lato"/>
          <w:b w:val="1"/>
        </w:rPr>
      </w:pPr>
      <w:r w:rsidDel="00000000" w:rsidR="00000000" w:rsidRPr="00000000">
        <w:rPr>
          <w:rFonts w:ascii="Lato" w:cs="Lato" w:eastAsia="Lato" w:hAnsi="Lato"/>
          <w:b w:val="1"/>
          <w:rtl w:val="0"/>
        </w:rPr>
        <w:t xml:space="preserve"> ** FINALIZA</w:t>
      </w:r>
    </w:p>
    <w:p w:rsidR="00000000" w:rsidDel="00000000" w:rsidP="00000000" w:rsidRDefault="00000000" w:rsidRPr="00000000" w14:paraId="0000004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E">
      <w:pPr>
        <w:spacing w:line="240" w:lineRule="auto"/>
        <w:rPr>
          <w:rFonts w:ascii="Lato" w:cs="Lato" w:eastAsia="Lato" w:hAnsi="Lato"/>
        </w:rPr>
      </w:pPr>
      <w:r w:rsidDel="00000000" w:rsidR="00000000" w:rsidRPr="00000000">
        <w:rPr>
          <w:rFonts w:ascii="Lato" w:cs="Lato" w:eastAsia="Lato" w:hAnsi="Lato"/>
          <w:b w:val="1"/>
          <w:color w:val="703cee"/>
          <w:rtl w:val="0"/>
        </w:rPr>
        <w:t xml:space="preserve"> Esta es una declaración conjunta de:</w:t>
      </w:r>
      <w:r w:rsidDel="00000000" w:rsidR="00000000" w:rsidRPr="00000000">
        <w:rPr>
          <w:rFonts w:ascii="Lato" w:cs="Lato" w:eastAsia="Lato" w:hAnsi="Lato"/>
          <w:rtl w:val="0"/>
        </w:rPr>
        <w:br w:type="textWrapping"/>
      </w:r>
    </w:p>
    <w:p w:rsidR="00000000" w:rsidDel="00000000" w:rsidP="00000000" w:rsidRDefault="00000000" w:rsidRPr="00000000" w14:paraId="0000004F">
      <w:pPr>
        <w:spacing w:line="240" w:lineRule="auto"/>
        <w:rPr>
          <w:rFonts w:ascii="Lato" w:cs="Lato" w:eastAsia="Lato" w:hAnsi="Lato"/>
        </w:rPr>
      </w:pPr>
      <w:r w:rsidDel="00000000" w:rsidR="00000000" w:rsidRPr="00000000">
        <w:rPr>
          <w:rFonts w:ascii="Lato" w:cs="Lato" w:eastAsia="Lato" w:hAnsi="Lato"/>
          <w:rtl w:val="0"/>
        </w:rPr>
        <w:t xml:space="preserve">ILGA Mundo</w:t>
      </w:r>
    </w:p>
    <w:p w:rsidR="00000000" w:rsidDel="00000000" w:rsidP="00000000" w:rsidRDefault="00000000" w:rsidRPr="00000000" w14:paraId="00000050">
      <w:pPr>
        <w:spacing w:line="240" w:lineRule="auto"/>
        <w:rPr>
          <w:rFonts w:ascii="Lato" w:cs="Lato" w:eastAsia="Lato" w:hAnsi="Lato"/>
        </w:rPr>
      </w:pPr>
      <w:r w:rsidDel="00000000" w:rsidR="00000000" w:rsidRPr="00000000">
        <w:rPr>
          <w:rFonts w:ascii="Lato" w:cs="Lato" w:eastAsia="Lato" w:hAnsi="Lato"/>
          <w:rtl w:val="0"/>
        </w:rPr>
        <w:t xml:space="preserve">TGEU</w:t>
      </w:r>
    </w:p>
    <w:p w:rsidR="00000000" w:rsidDel="00000000" w:rsidP="00000000" w:rsidRDefault="00000000" w:rsidRPr="00000000" w14:paraId="00000051">
      <w:pPr>
        <w:spacing w:line="240" w:lineRule="auto"/>
        <w:rPr>
          <w:rFonts w:ascii="Lato" w:cs="Lato" w:eastAsia="Lato" w:hAnsi="Lato"/>
        </w:rPr>
      </w:pPr>
      <w:r w:rsidDel="00000000" w:rsidR="00000000" w:rsidRPr="00000000">
        <w:rPr>
          <w:rFonts w:ascii="Lato" w:cs="Lato" w:eastAsia="Lato" w:hAnsi="Lato"/>
          <w:rtl w:val="0"/>
        </w:rPr>
        <w:t xml:space="preserve">GATE - Global Action for Trans Equality</w:t>
      </w:r>
    </w:p>
    <w:p w:rsidR="00000000" w:rsidDel="00000000" w:rsidP="00000000" w:rsidRDefault="00000000" w:rsidRPr="00000000" w14:paraId="00000052">
      <w:pPr>
        <w:spacing w:line="240" w:lineRule="auto"/>
        <w:rPr>
          <w:rFonts w:ascii="Lato" w:cs="Lato" w:eastAsia="Lato" w:hAnsi="Lato"/>
        </w:rPr>
      </w:pPr>
      <w:r w:rsidDel="00000000" w:rsidR="00000000" w:rsidRPr="00000000">
        <w:rPr>
          <w:rFonts w:ascii="Lato" w:cs="Lato" w:eastAsia="Lato" w:hAnsi="Lato"/>
          <w:rtl w:val="0"/>
        </w:rPr>
        <w:t xml:space="preserve">RFSL</w:t>
      </w:r>
    </w:p>
    <w:p w:rsidR="00000000" w:rsidDel="00000000" w:rsidP="00000000" w:rsidRDefault="00000000" w:rsidRPr="00000000" w14:paraId="00000053">
      <w:pPr>
        <w:spacing w:line="240" w:lineRule="auto"/>
        <w:rPr>
          <w:rFonts w:ascii="Lato" w:cs="Lato" w:eastAsia="Lato" w:hAnsi="Lato"/>
        </w:rPr>
      </w:pPr>
      <w:r w:rsidDel="00000000" w:rsidR="00000000" w:rsidRPr="00000000">
        <w:rPr>
          <w:rFonts w:ascii="Lato" w:cs="Lato" w:eastAsia="Lato" w:hAnsi="Lato"/>
          <w:rtl w:val="0"/>
        </w:rPr>
        <w:t xml:space="preserve">International Women’s Rights Action Watch Asia Pacific (IWRAW AP)</w:t>
      </w:r>
    </w:p>
    <w:p w:rsidR="00000000" w:rsidDel="00000000" w:rsidP="00000000" w:rsidRDefault="00000000" w:rsidRPr="00000000" w14:paraId="00000054">
      <w:pPr>
        <w:spacing w:line="240" w:lineRule="auto"/>
        <w:rPr>
          <w:rFonts w:ascii="Lato" w:cs="Lato" w:eastAsia="Lato" w:hAnsi="Lato"/>
        </w:rPr>
      </w:pPr>
      <w:r w:rsidDel="00000000" w:rsidR="00000000" w:rsidRPr="00000000">
        <w:rPr>
          <w:rFonts w:ascii="Lato" w:cs="Lato" w:eastAsia="Lato" w:hAnsi="Lato"/>
          <w:rtl w:val="0"/>
        </w:rPr>
        <w:t xml:space="preserve">Center for Reproductive Rights (CRR)</w:t>
      </w:r>
    </w:p>
    <w:p w:rsidR="00000000" w:rsidDel="00000000" w:rsidP="00000000" w:rsidRDefault="00000000" w:rsidRPr="00000000" w14:paraId="00000055">
      <w:pPr>
        <w:spacing w:line="240" w:lineRule="auto"/>
        <w:rPr>
          <w:rFonts w:ascii="Lato" w:cs="Lato" w:eastAsia="Lato" w:hAnsi="Lato"/>
        </w:rPr>
      </w:pPr>
      <w:r w:rsidDel="00000000" w:rsidR="00000000" w:rsidRPr="00000000">
        <w:rPr>
          <w:rFonts w:ascii="Lato" w:cs="Lato" w:eastAsia="Lato" w:hAnsi="Lato"/>
          <w:rtl w:val="0"/>
        </w:rPr>
        <w:t xml:space="preserve">IPPF</w:t>
      </w:r>
    </w:p>
    <w:p w:rsidR="00000000" w:rsidDel="00000000" w:rsidP="00000000" w:rsidRDefault="00000000" w:rsidRPr="00000000" w14:paraId="0000005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spacing w:line="240" w:lineRule="auto"/>
        <w:rPr>
          <w:rFonts w:ascii="Lato" w:cs="Lato" w:eastAsia="Lato" w:hAnsi="Lato"/>
          <w:b w:val="1"/>
          <w:color w:val="703cee"/>
        </w:rPr>
      </w:pPr>
      <w:r w:rsidDel="00000000" w:rsidR="00000000" w:rsidRPr="00000000">
        <w:rPr>
          <w:rFonts w:ascii="Lato" w:cs="Lato" w:eastAsia="Lato" w:hAnsi="Lato"/>
          <w:b w:val="1"/>
          <w:color w:val="703cee"/>
          <w:rtl w:val="0"/>
        </w:rPr>
        <w:t xml:space="preserve">Contactos para los medios de comunicación</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9">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rPr>
      </w:pPr>
      <w:r w:rsidDel="00000000" w:rsidR="00000000" w:rsidRPr="00000000">
        <w:rPr>
          <w:rFonts w:ascii="Lato" w:cs="Lato" w:eastAsia="Lato" w:hAnsi="Lato"/>
          <w:rtl w:val="0"/>
        </w:rPr>
        <w:t xml:space="preserve">ILGA World: Daniele Paletta (gerente de comunicaciones), </w:t>
      </w:r>
      <w:hyperlink r:id="rId21">
        <w:r w:rsidDel="00000000" w:rsidR="00000000" w:rsidRPr="00000000">
          <w:rPr>
            <w:rFonts w:ascii="Lato" w:cs="Lato" w:eastAsia="Lato" w:hAnsi="Lato"/>
            <w:color w:val="1155cc"/>
            <w:u w:val="single"/>
            <w:rtl w:val="0"/>
          </w:rPr>
          <w:t xml:space="preserve">media@ilga.org</w:t>
        </w:r>
      </w:hyperlink>
      <w:r w:rsidDel="00000000" w:rsidR="00000000" w:rsidRPr="00000000">
        <w:rPr>
          <w:rFonts w:ascii="Lato" w:cs="Lato" w:eastAsia="Lato" w:hAnsi="Lato"/>
          <w:rtl w:val="0"/>
        </w:rPr>
        <w:t xml:space="preserve"> </w:t>
      </w:r>
    </w:p>
    <w:p w:rsidR="00000000" w:rsidDel="00000000" w:rsidP="00000000" w:rsidRDefault="00000000" w:rsidRPr="00000000" w14:paraId="0000005A">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rPr>
      </w:pPr>
      <w:r w:rsidDel="00000000" w:rsidR="00000000" w:rsidRPr="00000000">
        <w:rPr>
          <w:rFonts w:ascii="Lato" w:cs="Lato" w:eastAsia="Lato" w:hAnsi="Lato"/>
          <w:rtl w:val="0"/>
        </w:rPr>
        <w:t xml:space="preserve">GATE - Global Action for Trans Equality: Naomhán O’Connor, (gerente de comunicaciones), </w:t>
      </w:r>
      <w:hyperlink r:id="rId22">
        <w:r w:rsidDel="00000000" w:rsidR="00000000" w:rsidRPr="00000000">
          <w:rPr>
            <w:rFonts w:ascii="Lato" w:cs="Lato" w:eastAsia="Lato" w:hAnsi="Lato"/>
            <w:color w:val="1155cc"/>
            <w:u w:val="single"/>
            <w:rtl w:val="0"/>
          </w:rPr>
          <w:t xml:space="preserve">press@gate.ngo</w:t>
        </w:r>
      </w:hyperlink>
      <w:r w:rsidDel="00000000" w:rsidR="00000000" w:rsidRPr="00000000">
        <w:rPr>
          <w:rFonts w:ascii="Lato" w:cs="Lato" w:eastAsia="Lato" w:hAnsi="Lato"/>
          <w:rtl w:val="0"/>
        </w:rPr>
        <w:t xml:space="preserve"> </w:t>
      </w:r>
    </w:p>
    <w:p w:rsidR="00000000" w:rsidDel="00000000" w:rsidP="00000000" w:rsidRDefault="00000000" w:rsidRPr="00000000" w14:paraId="0000005B">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rPr>
      </w:pPr>
      <w:r w:rsidDel="00000000" w:rsidR="00000000" w:rsidRPr="00000000">
        <w:rPr>
          <w:rFonts w:ascii="Lato" w:cs="Lato" w:eastAsia="Lato" w:hAnsi="Lato"/>
          <w:rtl w:val="0"/>
        </w:rPr>
        <w:t xml:space="preserve">TGEU: </w:t>
      </w:r>
      <w:hyperlink r:id="rId23">
        <w:r w:rsidDel="00000000" w:rsidR="00000000" w:rsidRPr="00000000">
          <w:rPr>
            <w:rFonts w:ascii="Lato" w:cs="Lato" w:eastAsia="Lato" w:hAnsi="Lato"/>
            <w:color w:val="1155cc"/>
            <w:u w:val="single"/>
            <w:rtl w:val="0"/>
          </w:rPr>
          <w:t xml:space="preserve">comms@tgeu.org</w:t>
        </w:r>
      </w:hyperlink>
      <w:r w:rsidDel="00000000" w:rsidR="00000000" w:rsidRPr="00000000">
        <w:rPr>
          <w:rFonts w:ascii="Lato" w:cs="Lato" w:eastAsia="Lato" w:hAnsi="Lato"/>
          <w:rtl w:val="0"/>
        </w:rPr>
        <w:t xml:space="preserve"> </w:t>
      </w:r>
    </w:p>
    <w:p w:rsidR="00000000" w:rsidDel="00000000" w:rsidP="00000000" w:rsidRDefault="00000000" w:rsidRPr="00000000" w14:paraId="0000005C">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rPr>
      </w:pPr>
      <w:r w:rsidDel="00000000" w:rsidR="00000000" w:rsidRPr="00000000">
        <w:rPr>
          <w:rFonts w:ascii="Lato" w:cs="Lato" w:eastAsia="Lato" w:hAnsi="Lato"/>
          <w:rtl w:val="0"/>
        </w:rPr>
        <w:t xml:space="preserve">IWRAW AP: Pravind Premnath, </w:t>
      </w:r>
      <w:hyperlink r:id="rId24">
        <w:r w:rsidDel="00000000" w:rsidR="00000000" w:rsidRPr="00000000">
          <w:rPr>
            <w:rFonts w:ascii="Lato" w:cs="Lato" w:eastAsia="Lato" w:hAnsi="Lato"/>
            <w:color w:val="1155cc"/>
            <w:u w:val="single"/>
            <w:rtl w:val="0"/>
          </w:rPr>
          <w:t xml:space="preserve">pravind@iwraw-ap.org</w:t>
        </w:r>
      </w:hyperlink>
      <w:r w:rsidDel="00000000" w:rsidR="00000000" w:rsidRPr="00000000">
        <w:rPr>
          <w:rtl w:val="0"/>
        </w:rPr>
      </w:r>
    </w:p>
    <w:p w:rsidR="00000000" w:rsidDel="00000000" w:rsidP="00000000" w:rsidRDefault="00000000" w:rsidRPr="00000000" w14:paraId="0000005D">
      <w:pPr>
        <w:numPr>
          <w:ilvl w:val="0"/>
          <w:numId w:val="4"/>
        </w:numPr>
        <w:pBdr>
          <w:top w:color="auto" w:space="0" w:sz="0" w:val="none"/>
          <w:bottom w:color="auto" w:space="0" w:sz="0" w:val="none"/>
          <w:right w:color="auto" w:space="0" w:sz="0" w:val="none"/>
          <w:between w:color="auto" w:space="0" w:sz="0" w:val="none"/>
        </w:pBdr>
        <w:spacing w:line="240" w:lineRule="auto"/>
        <w:ind w:left="720" w:hanging="360"/>
        <w:rPr>
          <w:rFonts w:ascii="Lato" w:cs="Lato" w:eastAsia="Lato" w:hAnsi="Lato"/>
        </w:rPr>
      </w:pPr>
      <w:r w:rsidDel="00000000" w:rsidR="00000000" w:rsidRPr="00000000">
        <w:rPr>
          <w:rFonts w:ascii="Lato" w:cs="Lato" w:eastAsia="Lato" w:hAnsi="Lato"/>
          <w:rtl w:val="0"/>
        </w:rPr>
        <w:t xml:space="preserve">CRR: Sarah Kaplan, </w:t>
      </w:r>
      <w:hyperlink r:id="rId25">
        <w:r w:rsidDel="00000000" w:rsidR="00000000" w:rsidRPr="00000000">
          <w:rPr>
            <w:rFonts w:ascii="Lato" w:cs="Lato" w:eastAsia="Lato" w:hAnsi="Lato"/>
            <w:color w:val="1155cc"/>
            <w:u w:val="single"/>
            <w:rtl w:val="0"/>
          </w:rPr>
          <w:t xml:space="preserve">center.press@reprorights.org</w:t>
        </w:r>
      </w:hyperlink>
      <w:r w:rsidDel="00000000" w:rsidR="00000000" w:rsidRPr="00000000">
        <w:rPr>
          <w:rFonts w:ascii="Lato" w:cs="Lato" w:eastAsia="Lato" w:hAnsi="Lato"/>
          <w:rtl w:val="0"/>
        </w:rPr>
        <w:t xml:space="preserve"> </w:t>
        <w:br w:type="textWrapping"/>
        <w:t xml:space="preserve"> </w:t>
        <w:br w:type="textWrapping"/>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b w:val="1"/>
        </w:rPr>
      </w:pPr>
      <w:r w:rsidDel="00000000" w:rsidR="00000000" w:rsidRPr="00000000">
        <w:rPr>
          <w:rFonts w:ascii="Lato" w:cs="Lato" w:eastAsia="Lato" w:hAnsi="Lato"/>
          <w:b w:val="1"/>
          <w:rtl w:val="0"/>
        </w:rPr>
        <w:t xml:space="preserve">Nota: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El número de países que se suman a la declaración puede variar debido a la existencia de signatarios adicionales. La lista actual está disponible </w:t>
      </w:r>
      <w:hyperlink r:id="rId26">
        <w:r w:rsidDel="00000000" w:rsidR="00000000" w:rsidRPr="00000000">
          <w:rPr>
            <w:rFonts w:ascii="Lato" w:cs="Lato" w:eastAsia="Lato" w:hAnsi="Lato"/>
            <w:color w:val="1155cc"/>
            <w:u w:val="single"/>
            <w:rtl w:val="0"/>
          </w:rPr>
          <w:t xml:space="preserve">aquí</w:t>
        </w:r>
      </w:hyperlink>
      <w:r w:rsidDel="00000000" w:rsidR="00000000" w:rsidRPr="00000000">
        <w:rPr>
          <w:rFonts w:ascii="Lato" w:cs="Lato" w:eastAsia="Lato" w:hAnsi="Lato"/>
          <w:rtl w:val="0"/>
        </w:rPr>
        <w:t xml:space="preserve"> (en el capítulo:</w:t>
      </w:r>
      <w:r w:rsidDel="00000000" w:rsidR="00000000" w:rsidRPr="00000000">
        <w:rPr>
          <w:rFonts w:ascii="Lato" w:cs="Lato" w:eastAsia="Lato" w:hAnsi="Lato"/>
          <w:i w:val="1"/>
          <w:rtl w:val="0"/>
        </w:rPr>
        <w:t xml:space="preserve"> Item 8: General debate on the follow-up to and implementation of the Vienna Declaration and Programme of Action, 15:00</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lga.org/downloads/HRC52_Item8_legal_gender_recognition.pdf" TargetMode="External"/><Relationship Id="rId22" Type="http://schemas.openxmlformats.org/officeDocument/2006/relationships/hyperlink" Target="mailto:press@gate.ngo" TargetMode="External"/><Relationship Id="rId21" Type="http://schemas.openxmlformats.org/officeDocument/2006/relationships/hyperlink" Target="mailto:media@ilga.org" TargetMode="External"/><Relationship Id="rId24" Type="http://schemas.openxmlformats.org/officeDocument/2006/relationships/hyperlink" Target="mailto:pravind@iwraw-ap.org" TargetMode="External"/><Relationship Id="rId23" Type="http://schemas.openxmlformats.org/officeDocument/2006/relationships/hyperlink" Target="mailto:comms@tgeu.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cmeetings.ohchr.org/HRCSessions/HRCDocuments/66/SP/52511_58_944c1c77_1165_4568_a240_ec2900bbbe45.docx" TargetMode="External"/><Relationship Id="rId26" Type="http://schemas.openxmlformats.org/officeDocument/2006/relationships/hyperlink" Target="https://hrcmeetings.ohchr.org/HRCSessions/RegularSessions/52/Pages/Statements.aspx?SessionId=66&amp;MeetingDate=29/03/2023+00:00:00" TargetMode="External"/><Relationship Id="rId25" Type="http://schemas.openxmlformats.org/officeDocument/2006/relationships/hyperlink" Target="mailto:center.press@reprorights.org" TargetMode="External"/><Relationship Id="rId5" Type="http://schemas.openxmlformats.org/officeDocument/2006/relationships/styles" Target="styles.xml"/><Relationship Id="rId6" Type="http://schemas.openxmlformats.org/officeDocument/2006/relationships/hyperlink" Target="https://hrcmeetings.ohchr.org/HRCSessions/HRCDocuments/66/SP/52511_58_944c1c77_1165_4568_a240_ec2900bbbe45.docx" TargetMode="External"/><Relationship Id="rId7" Type="http://schemas.openxmlformats.org/officeDocument/2006/relationships/hyperlink" Target="https://hrcmeetings.ohchr.org/HRCSessions/HRCDocuments/66/SP/52511_58_944c1c77_1165_4568_a240_ec2900bbbe45.docx" TargetMode="External"/><Relationship Id="rId8" Type="http://schemas.openxmlformats.org/officeDocument/2006/relationships/hyperlink" Target="https://hrcmeetings.ohchr.org/HRCSessions/HRCDocuments/66/SP/52511_58_944c1c77_1165_4568_a240_ec2900bbbe45.docx" TargetMode="External"/><Relationship Id="rId11" Type="http://schemas.openxmlformats.org/officeDocument/2006/relationships/hyperlink" Target="https://ilga.org/downloads/HRC52_Item8_legal_gender_recognition.pdf" TargetMode="External"/><Relationship Id="rId10" Type="http://schemas.openxmlformats.org/officeDocument/2006/relationships/hyperlink" Target="https://ilga.org/protect-trans-women-rights-27-States-tell-United-Nations" TargetMode="External"/><Relationship Id="rId13" Type="http://schemas.openxmlformats.org/officeDocument/2006/relationships/hyperlink" Target="mailto:press@gate.ngo" TargetMode="External"/><Relationship Id="rId12" Type="http://schemas.openxmlformats.org/officeDocument/2006/relationships/hyperlink" Target="mailto:media@ilga.org" TargetMode="External"/><Relationship Id="rId15" Type="http://schemas.openxmlformats.org/officeDocument/2006/relationships/hyperlink" Target="mailto:pravind@iwraw-ap.org" TargetMode="External"/><Relationship Id="rId14" Type="http://schemas.openxmlformats.org/officeDocument/2006/relationships/hyperlink" Target="mailto:comms@tgeu.org" TargetMode="External"/><Relationship Id="rId17" Type="http://schemas.openxmlformats.org/officeDocument/2006/relationships/hyperlink" Target="https://hrcmeetings.ohchr.org/HRCSessions/RegularSessions/52/Pages/Statements.aspx?SessionId=66&amp;MeetingDate=29/03/2023+00:00:00" TargetMode="External"/><Relationship Id="rId16" Type="http://schemas.openxmlformats.org/officeDocument/2006/relationships/hyperlink" Target="mailto:center.press@reprorights.org" TargetMode="External"/><Relationship Id="rId19" Type="http://schemas.openxmlformats.org/officeDocument/2006/relationships/hyperlink" Target="https://ilga.org/es/declaraci%C3%B3n-conjunta-instamos-a-proteger-los-derechos-de-las-mujeres-trans" TargetMode="External"/><Relationship Id="rId18" Type="http://schemas.openxmlformats.org/officeDocument/2006/relationships/hyperlink" Target="https://hrcmeetings.ohchr.org/HRCSessions/HRCDocuments/66/SP/52511_58_944c1c77_1165_4568_a240_ec2900bbbe45.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