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3C72" w14:textId="77777777" w:rsidR="00BA670F" w:rsidRDefault="00BA670F" w:rsidP="002B3D92">
      <w:pPr>
        <w:pStyle w:val="Heading2"/>
        <w:rPr>
          <w:sz w:val="40"/>
          <w:szCs w:val="40"/>
        </w:rPr>
      </w:pPr>
      <w:r w:rsidRPr="00BA670F">
        <w:rPr>
          <w:sz w:val="40"/>
          <w:szCs w:val="40"/>
        </w:rPr>
        <w:t>"Justification was not provided": Visa inequalities and the violation of the rights of Global South activists to representation at the United Nations in Geneva, 2023-2024</w:t>
      </w:r>
    </w:p>
    <w:p w14:paraId="49887DAF" w14:textId="626C00EE" w:rsidR="000919A9" w:rsidRDefault="00C27D8B" w:rsidP="000919A9">
      <w:pPr>
        <w:pStyle w:val="Heading2"/>
      </w:pPr>
      <w:r>
        <w:t>Submission in conjunction with</w:t>
      </w:r>
      <w:r w:rsidR="002B3D92" w:rsidRPr="00AD41AF">
        <w:t xml:space="preserve"> the</w:t>
      </w:r>
      <w:r>
        <w:t xml:space="preserve"> follow-up </w:t>
      </w:r>
      <w:r w:rsidR="00D415E7">
        <w:t>report of Switzerland at the</w:t>
      </w:r>
      <w:r w:rsidR="002B3D92" w:rsidRPr="00AD41AF">
        <w:t xml:space="preserve"> </w:t>
      </w:r>
      <w:r>
        <w:t>90th</w:t>
      </w:r>
      <w:r w:rsidR="002B3D92" w:rsidRPr="00AD41AF">
        <w:t xml:space="preserve"> Session of the Convention on the Elimination of All Forms of Discrimination Against Women (CEDAW)</w:t>
      </w:r>
    </w:p>
    <w:p w14:paraId="2DEDB84B" w14:textId="77777777" w:rsidR="000919A9" w:rsidRDefault="000919A9" w:rsidP="000919A9"/>
    <w:p w14:paraId="5EB7F0AA" w14:textId="77777777" w:rsidR="000919A9" w:rsidRDefault="000919A9" w:rsidP="000919A9"/>
    <w:p w14:paraId="62EC1707" w14:textId="77777777" w:rsidR="000919A9" w:rsidRDefault="000919A9" w:rsidP="000919A9"/>
    <w:p w14:paraId="24487460" w14:textId="77777777" w:rsidR="000919A9" w:rsidRDefault="000919A9" w:rsidP="000919A9"/>
    <w:p w14:paraId="2731226C" w14:textId="77777777" w:rsidR="000919A9" w:rsidRDefault="000919A9" w:rsidP="000919A9"/>
    <w:p w14:paraId="59297AC9" w14:textId="77777777" w:rsidR="000919A9" w:rsidRDefault="000919A9" w:rsidP="000919A9"/>
    <w:p w14:paraId="2868B258" w14:textId="77777777" w:rsidR="000919A9" w:rsidRPr="000919A9" w:rsidRDefault="000919A9" w:rsidP="000919A9"/>
    <w:p w14:paraId="2450D9B3" w14:textId="7DD0ACF7" w:rsidR="002B3D92" w:rsidRDefault="00D03032" w:rsidP="002B3D92">
      <w:r>
        <w:rPr>
          <w:noProof/>
        </w:rPr>
        <w:drawing>
          <wp:anchor distT="0" distB="0" distL="114300" distR="114300" simplePos="0" relativeHeight="251659264" behindDoc="0" locked="0" layoutInCell="1" allowOverlap="1" wp14:anchorId="5C51B9F2" wp14:editId="27F53E07">
            <wp:simplePos x="0" y="0"/>
            <wp:positionH relativeFrom="column">
              <wp:posOffset>1778635</wp:posOffset>
            </wp:positionH>
            <wp:positionV relativeFrom="paragraph">
              <wp:posOffset>182880</wp:posOffset>
            </wp:positionV>
            <wp:extent cx="1316355" cy="1052830"/>
            <wp:effectExtent l="0" t="0" r="0" b="0"/>
            <wp:wrapSquare wrapText="bothSides"/>
            <wp:docPr id="68499663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96637" name="Picture 1" descr="A close 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6355" cy="1052830"/>
                    </a:xfrm>
                    <a:prstGeom prst="rect">
                      <a:avLst/>
                    </a:prstGeom>
                  </pic:spPr>
                </pic:pic>
              </a:graphicData>
            </a:graphic>
            <wp14:sizeRelH relativeFrom="margin">
              <wp14:pctWidth>0</wp14:pctWidth>
            </wp14:sizeRelH>
            <wp14:sizeRelV relativeFrom="margin">
              <wp14:pctHeight>0</wp14:pctHeight>
            </wp14:sizeRelV>
          </wp:anchor>
        </w:drawing>
      </w:r>
    </w:p>
    <w:p w14:paraId="4E3D9B3C" w14:textId="77777777" w:rsidR="00D03032" w:rsidRDefault="00D415E7" w:rsidP="002B3D92">
      <w:r>
        <w:rPr>
          <w:noProof/>
        </w:rPr>
        <w:drawing>
          <wp:anchor distT="0" distB="0" distL="114300" distR="114300" simplePos="0" relativeHeight="251658240" behindDoc="0" locked="0" layoutInCell="1" allowOverlap="1" wp14:anchorId="7D042784" wp14:editId="52A8E48E">
            <wp:simplePos x="0" y="0"/>
            <wp:positionH relativeFrom="column">
              <wp:posOffset>0</wp:posOffset>
            </wp:positionH>
            <wp:positionV relativeFrom="paragraph">
              <wp:posOffset>-2540</wp:posOffset>
            </wp:positionV>
            <wp:extent cx="1593215" cy="1190625"/>
            <wp:effectExtent l="0" t="0" r="6985" b="9525"/>
            <wp:wrapSquare wrapText="bothSides"/>
            <wp:docPr id="1800804812" name="Picture 1" descr="A logo with colorful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04812" name="Picture 1" descr="A logo with colorful lette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215" cy="1190625"/>
                    </a:xfrm>
                    <a:prstGeom prst="rect">
                      <a:avLst/>
                    </a:prstGeom>
                  </pic:spPr>
                </pic:pic>
              </a:graphicData>
            </a:graphic>
          </wp:anchor>
        </w:drawing>
      </w:r>
      <w:r w:rsidR="002B3D92" w:rsidRPr="00AD41AF">
        <w:t>Submitted by International Women’s Rights Action Watch Asia Pacific (IWRAW Asia Pacific)</w:t>
      </w:r>
    </w:p>
    <w:p w14:paraId="7B10A9C4" w14:textId="4A766D1C" w:rsidR="002B3D92" w:rsidRPr="00AD41AF" w:rsidRDefault="008F372B" w:rsidP="002B3D92">
      <w:r>
        <w:t xml:space="preserve">and </w:t>
      </w:r>
      <w:r w:rsidR="00A0189A">
        <w:t xml:space="preserve">the </w:t>
      </w:r>
      <w:r>
        <w:t>Sexual Rights Initiative</w:t>
      </w:r>
    </w:p>
    <w:p w14:paraId="365C1ADA" w14:textId="77777777" w:rsidR="000919A9" w:rsidRDefault="000919A9" w:rsidP="002B3D92"/>
    <w:p w14:paraId="4081C057" w14:textId="2A840C01" w:rsidR="00D415E7" w:rsidRDefault="00786BCD" w:rsidP="000919A9">
      <w:r>
        <w:t>January 2025</w:t>
      </w:r>
    </w:p>
    <w:p w14:paraId="2F9EE555" w14:textId="77777777" w:rsidR="000919A9" w:rsidRDefault="000919A9" w:rsidP="000919A9"/>
    <w:p w14:paraId="36C46A9D" w14:textId="48758BEC" w:rsidR="00C43E3A" w:rsidRDefault="00446018">
      <w:pPr>
        <w:rPr>
          <w:rFonts w:ascii="Proxima Nova" w:eastAsia="Proxima Nova" w:hAnsi="Proxima Nova" w:cs="Proxima Nova"/>
        </w:rPr>
      </w:pPr>
      <w:r>
        <w:rPr>
          <w:rFonts w:ascii="Proxima Nova" w:eastAsia="Proxima Nova" w:hAnsi="Proxima Nova" w:cs="Proxima Nova"/>
        </w:rPr>
        <w:t>IWRAW Asia Pacific is an international women’s rights, feminist organisation committed to</w:t>
      </w:r>
      <w:r w:rsidR="000919A9">
        <w:rPr>
          <w:rFonts w:ascii="Proxima Nova" w:eastAsia="Proxima Nova" w:hAnsi="Proxima Nova" w:cs="Proxima Nova"/>
        </w:rPr>
        <w:t xml:space="preserve"> </w:t>
      </w:r>
      <w:r>
        <w:rPr>
          <w:rFonts w:ascii="Proxima Nova" w:eastAsia="Proxima Nova" w:hAnsi="Proxima Nova" w:cs="Proxima Nova"/>
        </w:rPr>
        <w:t>the full realisation of women’s human rights through the pursuit of equality. It supports the</w:t>
      </w:r>
      <w:r w:rsidR="000919A9">
        <w:rPr>
          <w:rFonts w:ascii="Proxima Nova" w:eastAsia="Proxima Nova" w:hAnsi="Proxima Nova" w:cs="Proxima Nova"/>
        </w:rPr>
        <w:t xml:space="preserve"> </w:t>
      </w:r>
      <w:r>
        <w:rPr>
          <w:rFonts w:ascii="Proxima Nova" w:eastAsia="Proxima Nova" w:hAnsi="Proxima Nova" w:cs="Proxima Nova"/>
        </w:rPr>
        <w:t>CEDAW Committee and OHCHR in facilitating participation of women’s rights organisations</w:t>
      </w:r>
      <w:r w:rsidR="000919A9">
        <w:rPr>
          <w:rFonts w:ascii="Proxima Nova" w:eastAsia="Proxima Nova" w:hAnsi="Proxima Nova" w:cs="Proxima Nova"/>
        </w:rPr>
        <w:t xml:space="preserve"> </w:t>
      </w:r>
      <w:r>
        <w:rPr>
          <w:rFonts w:ascii="Proxima Nova" w:eastAsia="Proxima Nova" w:hAnsi="Proxima Nova" w:cs="Proxima Nova"/>
        </w:rPr>
        <w:t>in the CEDAW review process. Its programme ‘Interrogating Borders and their Impact on</w:t>
      </w:r>
      <w:r w:rsidR="000919A9">
        <w:rPr>
          <w:rFonts w:ascii="Proxima Nova" w:eastAsia="Proxima Nova" w:hAnsi="Proxima Nova" w:cs="Proxima Nova"/>
        </w:rPr>
        <w:t xml:space="preserve"> </w:t>
      </w:r>
      <w:r>
        <w:rPr>
          <w:rFonts w:ascii="Proxima Nova" w:eastAsia="Proxima Nova" w:hAnsi="Proxima Nova" w:cs="Proxima Nova"/>
        </w:rPr>
        <w:t>Women’s Human Rights’ examines the human rights violations incurred through border</w:t>
      </w:r>
      <w:r w:rsidR="000919A9">
        <w:rPr>
          <w:rFonts w:ascii="Proxima Nova" w:eastAsia="Proxima Nova" w:hAnsi="Proxima Nova" w:cs="Proxima Nova"/>
        </w:rPr>
        <w:t xml:space="preserve"> </w:t>
      </w:r>
      <w:r>
        <w:rPr>
          <w:rFonts w:ascii="Proxima Nova" w:eastAsia="Proxima Nova" w:hAnsi="Proxima Nova" w:cs="Proxima Nova"/>
        </w:rPr>
        <w:t>controls and how intersecting forms of oppression are compounded by the presence of</w:t>
      </w:r>
      <w:r w:rsidR="000919A9">
        <w:rPr>
          <w:rFonts w:ascii="Proxima Nova" w:eastAsia="Proxima Nova" w:hAnsi="Proxima Nova" w:cs="Proxima Nova"/>
        </w:rPr>
        <w:t xml:space="preserve"> </w:t>
      </w:r>
      <w:r>
        <w:rPr>
          <w:rFonts w:ascii="Proxima Nova" w:eastAsia="Proxima Nova" w:hAnsi="Proxima Nova" w:cs="Proxima Nova"/>
        </w:rPr>
        <w:t>Borders.</w:t>
      </w:r>
      <w:bookmarkStart w:id="0" w:name="_awr105j7i81e" w:colFirst="0" w:colLast="0"/>
      <w:bookmarkEnd w:id="0"/>
    </w:p>
    <w:p w14:paraId="5B9EC9C7" w14:textId="77777777" w:rsidR="00A0189A" w:rsidRDefault="00A0189A">
      <w:pPr>
        <w:rPr>
          <w:rFonts w:ascii="Proxima Nova" w:eastAsia="Proxima Nova" w:hAnsi="Proxima Nova" w:cs="Proxima Nova"/>
        </w:rPr>
      </w:pPr>
    </w:p>
    <w:p w14:paraId="40B0C9CE" w14:textId="7DDDD10D" w:rsidR="00A0189A" w:rsidRPr="000919A9" w:rsidRDefault="00A0189A">
      <w:pPr>
        <w:rPr>
          <w:rFonts w:ascii="Proxima Nova" w:eastAsia="Proxima Nova" w:hAnsi="Proxima Nova" w:cs="Proxima Nova"/>
          <w:lang w:val="en-MY"/>
        </w:rPr>
      </w:pPr>
      <w:r w:rsidRPr="00A0189A">
        <w:rPr>
          <w:rFonts w:ascii="Proxima Nova" w:eastAsia="Proxima Nova" w:hAnsi="Proxima Nova" w:cs="Proxima Nova"/>
          <w:lang w:val="en-MY"/>
        </w:rPr>
        <w:t>The Sexual Rights Initiative (SRI) is a coalition of national and regional organi</w:t>
      </w:r>
      <w:r>
        <w:rPr>
          <w:rFonts w:ascii="Proxima Nova" w:eastAsia="Proxima Nova" w:hAnsi="Proxima Nova" w:cs="Proxima Nova"/>
          <w:lang w:val="en-MY"/>
        </w:rPr>
        <w:t>s</w:t>
      </w:r>
      <w:r w:rsidRPr="00A0189A">
        <w:rPr>
          <w:rFonts w:ascii="Proxima Nova" w:eastAsia="Proxima Nova" w:hAnsi="Proxima Nova" w:cs="Proxima Nova"/>
          <w:lang w:val="en-MY"/>
        </w:rPr>
        <w:t>ations based in Canada, Egypt, India and Argentina, and with an office in Geneva that has been advocating for the advancement of human rights in relation to gender and sexuality in the UN human rights system since 2006.</w:t>
      </w:r>
      <w:r w:rsidR="006075F7">
        <w:rPr>
          <w:rFonts w:ascii="Proxima Nova" w:eastAsia="Proxima Nova" w:hAnsi="Proxima Nova" w:cs="Proxima Nova"/>
          <w:lang w:val="en-MY"/>
        </w:rPr>
        <w:t xml:space="preserve"> </w:t>
      </w:r>
      <w:r w:rsidR="000919A9" w:rsidRPr="000919A9">
        <w:rPr>
          <w:rFonts w:ascii="Proxima Nova" w:eastAsia="Proxima Nova" w:hAnsi="Proxima Nova" w:cs="Proxima Nova"/>
        </w:rPr>
        <w:t>The SRI combines feminist analysis with important advances in the recognition of human rights of women, all marginalized communities, and young people.</w:t>
      </w:r>
      <w:r w:rsidR="000919A9">
        <w:rPr>
          <w:rFonts w:ascii="Proxima Nova" w:eastAsia="Proxima Nova" w:hAnsi="Proxima Nova" w:cs="Proxima Nova"/>
        </w:rPr>
        <w:t xml:space="preserve"> </w:t>
      </w:r>
      <w:r w:rsidR="006075F7" w:rsidRPr="006075F7">
        <w:rPr>
          <w:rFonts w:ascii="Proxima Nova" w:eastAsia="Proxima Nova" w:hAnsi="Proxima Nova" w:cs="Proxima Nova"/>
        </w:rPr>
        <w:t>As NGO participation in the UN human rights system remains largely dominated by organi</w:t>
      </w:r>
      <w:r w:rsidR="006075F7">
        <w:rPr>
          <w:rFonts w:ascii="Proxima Nova" w:eastAsia="Proxima Nova" w:hAnsi="Proxima Nova" w:cs="Proxima Nova"/>
        </w:rPr>
        <w:t>s</w:t>
      </w:r>
      <w:r w:rsidR="006075F7" w:rsidRPr="006075F7">
        <w:rPr>
          <w:rFonts w:ascii="Proxima Nova" w:eastAsia="Proxima Nova" w:hAnsi="Proxima Nova" w:cs="Proxima Nova"/>
        </w:rPr>
        <w:t>ations based in the Global North, the SRI seeks to provide a more global point of view based on the experiences of SRI partner organi</w:t>
      </w:r>
      <w:r w:rsidR="006075F7">
        <w:rPr>
          <w:rFonts w:ascii="Proxima Nova" w:eastAsia="Proxima Nova" w:hAnsi="Proxima Nova" w:cs="Proxima Nova"/>
        </w:rPr>
        <w:t>s</w:t>
      </w:r>
      <w:r w:rsidR="006075F7" w:rsidRPr="006075F7">
        <w:rPr>
          <w:rFonts w:ascii="Proxima Nova" w:eastAsia="Proxima Nova" w:hAnsi="Proxima Nova" w:cs="Proxima Nova"/>
        </w:rPr>
        <w:t xml:space="preserve">ations. </w:t>
      </w:r>
    </w:p>
    <w:p w14:paraId="419B9AFB" w14:textId="09CA3617" w:rsidR="009A374A" w:rsidRPr="000919A9" w:rsidRDefault="000919A9" w:rsidP="000919A9">
      <w:pPr>
        <w:pStyle w:val="Heading1"/>
      </w:pPr>
      <w:r>
        <w:br w:type="page"/>
      </w:r>
      <w:r w:rsidR="00446018">
        <w:lastRenderedPageBreak/>
        <w:t>Introduction</w:t>
      </w:r>
    </w:p>
    <w:p w14:paraId="419B9AFC" w14:textId="77777777" w:rsidR="009A374A" w:rsidRDefault="00446018">
      <w:pPr>
        <w:rPr>
          <w:rFonts w:ascii="Proxima Nova" w:eastAsia="Proxima Nova" w:hAnsi="Proxima Nova" w:cs="Proxima Nova"/>
        </w:rPr>
      </w:pPr>
      <w:r>
        <w:rPr>
          <w:rFonts w:ascii="Proxima Nova" w:eastAsia="Proxima Nova" w:hAnsi="Proxima Nova" w:cs="Proxima Nova"/>
        </w:rPr>
        <w:t>This document is a follow-up to the shadow report submitted by IWRAW Asia Pacific in September 2022 for Switzerland’s review during the 83rd CEDAW session. Titled ‘Switzerland as Gatekeeper: The impact of visa application processes on Global South civil society representation at the United Nations’,</w:t>
      </w:r>
      <w:r>
        <w:rPr>
          <w:rFonts w:ascii="Proxima Nova" w:eastAsia="Proxima Nova" w:hAnsi="Proxima Nova" w:cs="Proxima Nova"/>
          <w:vertAlign w:val="superscript"/>
        </w:rPr>
        <w:footnoteReference w:id="1"/>
      </w:r>
      <w:r>
        <w:rPr>
          <w:rFonts w:ascii="Proxima Nova" w:eastAsia="Proxima Nova" w:hAnsi="Proxima Nova" w:cs="Proxima Nova"/>
        </w:rPr>
        <w:t xml:space="preserve"> the report addressed Switzerland’s unique position as host to the United Nations in Geneva, and the disproportionate obstacles faced by Global South citizens in accessing the UN. These obstacles include visa fees, time spent on applications, non-refundable expenses, and the emotional burden of having to prove one’s eligibility and, essentially, respectability.</w:t>
      </w:r>
    </w:p>
    <w:p w14:paraId="419B9AFD" w14:textId="77777777" w:rsidR="009A374A" w:rsidRDefault="009A374A">
      <w:pPr>
        <w:rPr>
          <w:rFonts w:ascii="Proxima Nova" w:eastAsia="Proxima Nova" w:hAnsi="Proxima Nova" w:cs="Proxima Nova"/>
        </w:rPr>
      </w:pPr>
    </w:p>
    <w:p w14:paraId="419B9AFE" w14:textId="77777777" w:rsidR="009A374A" w:rsidRDefault="00446018">
      <w:pPr>
        <w:rPr>
          <w:rFonts w:ascii="Proxima Nova" w:eastAsia="Proxima Nova" w:hAnsi="Proxima Nova" w:cs="Proxima Nova"/>
        </w:rPr>
      </w:pPr>
      <w:r>
        <w:rPr>
          <w:rFonts w:ascii="Proxima Nova" w:eastAsia="Proxima Nova" w:hAnsi="Proxima Nova" w:cs="Proxima Nova"/>
        </w:rPr>
        <w:t xml:space="preserve">Regrettably, more than two years since the report submission, it remains the case that almost every CEDAW session sees the exclusion of Global South women’s rights activists due to visa rejections and/or excessive barriers which prevent resolution within the necessary timeframe. </w:t>
      </w:r>
    </w:p>
    <w:p w14:paraId="419B9AFF" w14:textId="77777777" w:rsidR="009A374A" w:rsidRDefault="00446018">
      <w:pPr>
        <w:pStyle w:val="Heading1"/>
      </w:pPr>
      <w:bookmarkStart w:id="1" w:name="_buhgku28vj8t" w:colFirst="0" w:colLast="0"/>
      <w:bookmarkEnd w:id="1"/>
      <w:r>
        <w:t>Discriminatory visa application processes</w:t>
      </w:r>
    </w:p>
    <w:p w14:paraId="419B9B00" w14:textId="3F334E19" w:rsidR="009A374A" w:rsidRDefault="00446018">
      <w:pPr>
        <w:rPr>
          <w:rFonts w:ascii="Proxima Nova" w:eastAsia="Proxima Nova" w:hAnsi="Proxima Nova" w:cs="Proxima Nova"/>
        </w:rPr>
      </w:pPr>
      <w:r>
        <w:rPr>
          <w:rFonts w:ascii="Proxima Nova" w:eastAsia="Proxima Nova" w:hAnsi="Proxima Nova" w:cs="Proxima Nova"/>
        </w:rPr>
        <w:t>A preoccupation with wealth persists in decision making on visa applications. Those who do not meet a certain income threshold and/or who work in the informal sector are among those applicants who may be deemed ineligible. This emphasis on financial capital and invisible bias towards certain forms of work as a measure of eligibility for admission perpetuates</w:t>
      </w:r>
      <w:r w:rsidR="0098227A">
        <w:rPr>
          <w:rFonts w:ascii="Proxima Nova" w:eastAsia="Proxima Nova" w:hAnsi="Proxima Nova" w:cs="Proxima Nova"/>
        </w:rPr>
        <w:t xml:space="preserve"> </w:t>
      </w:r>
      <w:r>
        <w:rPr>
          <w:rFonts w:ascii="Proxima Nova" w:eastAsia="Proxima Nova" w:hAnsi="Proxima Nova" w:cs="Proxima Nova"/>
        </w:rPr>
        <w:t>inequalities and impedes the presence at the UN of working-class and low-income activists, reducing the likelihood that their communities’ issues will be sufficiently represented. It can be argued that women may be disproportionately affected, given the economic discrimination that they already frequently face.</w:t>
      </w:r>
    </w:p>
    <w:p w14:paraId="419B9B01" w14:textId="77777777" w:rsidR="009A374A" w:rsidRDefault="009A374A">
      <w:pPr>
        <w:rPr>
          <w:rFonts w:ascii="Proxima Nova" w:eastAsia="Proxima Nova" w:hAnsi="Proxima Nova" w:cs="Proxima Nova"/>
        </w:rPr>
      </w:pPr>
    </w:p>
    <w:p w14:paraId="419B9B02" w14:textId="77777777" w:rsidR="009A374A" w:rsidRDefault="00446018">
      <w:pPr>
        <w:rPr>
          <w:rFonts w:ascii="Proxima Nova" w:eastAsia="Proxima Nova" w:hAnsi="Proxima Nova" w:cs="Proxima Nova"/>
        </w:rPr>
      </w:pPr>
      <w:r>
        <w:rPr>
          <w:rFonts w:ascii="Proxima Nova" w:eastAsia="Proxima Nova" w:hAnsi="Proxima Nova" w:cs="Proxima Nova"/>
        </w:rPr>
        <w:t>It should be noted that when the previous report was submitted, Schengen visa applications cost USD 35 for citizens of Armenia, Azerbaijan, Bosnia and Herzegovina, Georgia, Moldova, Serbia and Ukraine, and USD 80 for other applicants. The fees have since been raised to USD 39 for the former group and USD 100 for the latter group.</w:t>
      </w:r>
      <w:r>
        <w:rPr>
          <w:rFonts w:ascii="Proxima Nova" w:eastAsia="Proxima Nova" w:hAnsi="Proxima Nova" w:cs="Proxima Nova"/>
          <w:vertAlign w:val="superscript"/>
        </w:rPr>
        <w:footnoteReference w:id="2"/>
      </w:r>
    </w:p>
    <w:p w14:paraId="419B9B03" w14:textId="77777777" w:rsidR="009A374A" w:rsidRDefault="009A374A">
      <w:pPr>
        <w:rPr>
          <w:rFonts w:ascii="Proxima Nova" w:eastAsia="Proxima Nova" w:hAnsi="Proxima Nova" w:cs="Proxima Nova"/>
        </w:rPr>
      </w:pPr>
    </w:p>
    <w:p w14:paraId="419B9B04" w14:textId="77777777" w:rsidR="009A374A" w:rsidRDefault="00446018">
      <w:pPr>
        <w:rPr>
          <w:rFonts w:ascii="Proxima Nova" w:eastAsia="Proxima Nova" w:hAnsi="Proxima Nova" w:cs="Proxima Nova"/>
        </w:rPr>
      </w:pPr>
      <w:r>
        <w:rPr>
          <w:rFonts w:ascii="Proxima Nova" w:eastAsia="Proxima Nova" w:hAnsi="Proxima Nova" w:cs="Proxima Nova"/>
        </w:rPr>
        <w:t>Filing an appeal against a visa rejection by Switzerland costs CHF 200 (approximately USD 221)</w:t>
      </w:r>
      <w:r>
        <w:rPr>
          <w:rFonts w:ascii="Proxima Nova" w:eastAsia="Proxima Nova" w:hAnsi="Proxima Nova" w:cs="Proxima Nova"/>
          <w:vertAlign w:val="superscript"/>
        </w:rPr>
        <w:footnoteReference w:id="3"/>
      </w:r>
      <w:r>
        <w:rPr>
          <w:rFonts w:ascii="Proxima Nova" w:eastAsia="Proxima Nova" w:hAnsi="Proxima Nova" w:cs="Proxima Nova"/>
        </w:rPr>
        <w:t xml:space="preserve"> - another high barrier for low-income applicants, especially when they have already purchased flight tickets, accommodation, and travel insurance, as required by the application process. This fee is </w:t>
      </w:r>
      <w:proofErr w:type="gramStart"/>
      <w:r>
        <w:rPr>
          <w:rFonts w:ascii="Proxima Nova" w:eastAsia="Proxima Nova" w:hAnsi="Proxima Nova" w:cs="Proxima Nova"/>
        </w:rPr>
        <w:t>all the more</w:t>
      </w:r>
      <w:proofErr w:type="gramEnd"/>
      <w:r>
        <w:rPr>
          <w:rFonts w:ascii="Proxima Nova" w:eastAsia="Proxima Nova" w:hAnsi="Proxima Nova" w:cs="Proxima Nova"/>
        </w:rPr>
        <w:t xml:space="preserve"> striking given that visa rejection appeals to other Schengen </w:t>
      </w:r>
      <w:r>
        <w:rPr>
          <w:rFonts w:ascii="Proxima Nova" w:eastAsia="Proxima Nova" w:hAnsi="Proxima Nova" w:cs="Proxima Nova"/>
        </w:rPr>
        <w:lastRenderedPageBreak/>
        <w:t>countries may be free (for example Norway or Sweden) or comparatively affordable (EUR 43, in the case of Croatia).</w:t>
      </w:r>
      <w:r>
        <w:rPr>
          <w:rFonts w:ascii="Proxima Nova" w:eastAsia="Proxima Nova" w:hAnsi="Proxima Nova" w:cs="Proxima Nova"/>
          <w:vertAlign w:val="superscript"/>
        </w:rPr>
        <w:footnoteReference w:id="4"/>
      </w:r>
      <w:r>
        <w:rPr>
          <w:rFonts w:ascii="Proxima Nova" w:eastAsia="Proxima Nova" w:hAnsi="Proxima Nova" w:cs="Proxima Nova"/>
        </w:rPr>
        <w:t xml:space="preserve"> </w:t>
      </w:r>
    </w:p>
    <w:p w14:paraId="419B9B05" w14:textId="77777777" w:rsidR="009A374A" w:rsidRDefault="00446018">
      <w:pPr>
        <w:pStyle w:val="Heading1"/>
      </w:pPr>
      <w:bookmarkStart w:id="2" w:name="_se44kg38m8di" w:colFirst="0" w:colLast="0"/>
      <w:bookmarkEnd w:id="2"/>
      <w:r>
        <w:t>Engagement of private-sector companies</w:t>
      </w:r>
    </w:p>
    <w:p w14:paraId="419B9B06" w14:textId="77777777" w:rsidR="009A374A" w:rsidRDefault="00446018">
      <w:pPr>
        <w:rPr>
          <w:rFonts w:ascii="Proxima Nova" w:eastAsia="Proxima Nova" w:hAnsi="Proxima Nova" w:cs="Proxima Nova"/>
        </w:rPr>
      </w:pPr>
      <w:r>
        <w:rPr>
          <w:rFonts w:ascii="Proxima Nova" w:eastAsia="Proxima Nova" w:hAnsi="Proxima Nova" w:cs="Proxima Nova"/>
        </w:rPr>
        <w:t xml:space="preserve">State parties, including Switzerland, increasingly outsource visa processing to private-sector companies such as </w:t>
      </w:r>
      <w:proofErr w:type="spellStart"/>
      <w:r>
        <w:rPr>
          <w:rFonts w:ascii="Proxima Nova" w:eastAsia="Proxima Nova" w:hAnsi="Proxima Nova" w:cs="Proxima Nova"/>
        </w:rPr>
        <w:t>TLSContact</w:t>
      </w:r>
      <w:proofErr w:type="spellEnd"/>
      <w:r>
        <w:rPr>
          <w:rFonts w:ascii="Proxima Nova" w:eastAsia="Proxima Nova" w:hAnsi="Proxima Nova" w:cs="Proxima Nova"/>
        </w:rPr>
        <w:t xml:space="preserve"> and VFS Global. This constructs an additional barrier between applicants and representatives of the countries to which they apply.</w:t>
      </w:r>
    </w:p>
    <w:p w14:paraId="419B9B07" w14:textId="77777777" w:rsidR="009A374A" w:rsidRDefault="009A374A">
      <w:pPr>
        <w:rPr>
          <w:rFonts w:ascii="Proxima Nova" w:eastAsia="Proxima Nova" w:hAnsi="Proxima Nova" w:cs="Proxima Nova"/>
        </w:rPr>
      </w:pPr>
    </w:p>
    <w:p w14:paraId="419B9B08" w14:textId="77777777" w:rsidR="009A374A" w:rsidRDefault="00446018">
      <w:pPr>
        <w:rPr>
          <w:rFonts w:ascii="Proxima Nova" w:eastAsia="Proxima Nova" w:hAnsi="Proxima Nova" w:cs="Proxima Nova"/>
        </w:rPr>
      </w:pPr>
      <w:r>
        <w:rPr>
          <w:rFonts w:ascii="Proxima Nova" w:eastAsia="Proxima Nova" w:hAnsi="Proxima Nova" w:cs="Proxima Nova"/>
        </w:rPr>
        <w:t xml:space="preserve">In a 2020 blog post, </w:t>
      </w:r>
      <w:proofErr w:type="spellStart"/>
      <w:r>
        <w:rPr>
          <w:rFonts w:ascii="Proxima Nova" w:eastAsia="Proxima Nova" w:hAnsi="Proxima Nova" w:cs="Proxima Nova"/>
        </w:rPr>
        <w:t>TLSContact</w:t>
      </w:r>
      <w:proofErr w:type="spellEnd"/>
      <w:r>
        <w:rPr>
          <w:rFonts w:ascii="Proxima Nova" w:eastAsia="Proxima Nova" w:hAnsi="Proxima Nova" w:cs="Proxima Nova"/>
        </w:rPr>
        <w:t xml:space="preserve"> claims that benefits of outsourcing visa processing include data security, flexibility to handle volume, and improved customer service.</w:t>
      </w:r>
      <w:r>
        <w:rPr>
          <w:rFonts w:ascii="Proxima Nova" w:eastAsia="Proxima Nova" w:hAnsi="Proxima Nova" w:cs="Proxima Nova"/>
          <w:vertAlign w:val="superscript"/>
        </w:rPr>
        <w:footnoteReference w:id="5"/>
      </w:r>
      <w:r>
        <w:rPr>
          <w:rFonts w:ascii="Proxima Nova" w:eastAsia="Proxima Nova" w:hAnsi="Proxima Nova" w:cs="Proxima Nova"/>
        </w:rPr>
        <w:t xml:space="preserve"> However, complaints about such companies can be found in abundance. They describe waiting times of more than three months for an appointment;</w:t>
      </w:r>
      <w:r>
        <w:rPr>
          <w:rFonts w:ascii="Proxima Nova" w:eastAsia="Proxima Nova" w:hAnsi="Proxima Nova" w:cs="Proxima Nova"/>
          <w:vertAlign w:val="superscript"/>
        </w:rPr>
        <w:footnoteReference w:id="6"/>
      </w:r>
      <w:r>
        <w:rPr>
          <w:rFonts w:ascii="Proxima Nova" w:eastAsia="Proxima Nova" w:hAnsi="Proxima Nova" w:cs="Proxima Nova"/>
        </w:rPr>
        <w:t xml:space="preserve"> appointment slots being booked </w:t>
      </w:r>
      <w:proofErr w:type="spellStart"/>
      <w:r>
        <w:rPr>
          <w:rFonts w:ascii="Proxima Nova" w:eastAsia="Proxima Nova" w:hAnsi="Proxima Nova" w:cs="Proxima Nova"/>
        </w:rPr>
        <w:t>en</w:t>
      </w:r>
      <w:proofErr w:type="spellEnd"/>
      <w:r>
        <w:rPr>
          <w:rFonts w:ascii="Proxima Nova" w:eastAsia="Proxima Nova" w:hAnsi="Proxima Nova" w:cs="Proxima Nova"/>
        </w:rPr>
        <w:t xml:space="preserve"> masse by bots, allowing third parties to subsequently sell them to desperate applicants;</w:t>
      </w:r>
      <w:r>
        <w:rPr>
          <w:rFonts w:ascii="Proxima Nova" w:eastAsia="Proxima Nova" w:hAnsi="Proxima Nova" w:cs="Proxima Nova"/>
          <w:vertAlign w:val="superscript"/>
        </w:rPr>
        <w:footnoteReference w:id="7"/>
      </w:r>
      <w:r>
        <w:rPr>
          <w:rFonts w:ascii="Proxima Nova" w:eastAsia="Proxima Nova" w:hAnsi="Proxima Nova" w:cs="Proxima Nova"/>
        </w:rPr>
        <w:t xml:space="preserve"> expedited processes for a higher fee, creating a two-tier system;</w:t>
      </w:r>
      <w:r>
        <w:rPr>
          <w:rFonts w:ascii="Proxima Nova" w:eastAsia="Proxima Nova" w:hAnsi="Proxima Nova" w:cs="Proxima Nova"/>
          <w:vertAlign w:val="superscript"/>
        </w:rPr>
        <w:footnoteReference w:id="8"/>
      </w:r>
      <w:r>
        <w:rPr>
          <w:rFonts w:ascii="Proxima Nova" w:eastAsia="Proxima Nova" w:hAnsi="Proxima Nova" w:cs="Proxima Nova"/>
        </w:rPr>
        <w:t xml:space="preserve"> reduced options for communication, resulting in less flexibility;</w:t>
      </w:r>
      <w:r>
        <w:rPr>
          <w:rFonts w:ascii="Proxima Nova" w:eastAsia="Proxima Nova" w:hAnsi="Proxima Nova" w:cs="Proxima Nova"/>
          <w:vertAlign w:val="superscript"/>
        </w:rPr>
        <w:footnoteReference w:id="9"/>
      </w:r>
      <w:r>
        <w:rPr>
          <w:rFonts w:ascii="Proxima Nova" w:eastAsia="Proxima Nova" w:hAnsi="Proxima Nova" w:cs="Proxima Nova"/>
        </w:rPr>
        <w:t xml:space="preserve"> obstacles in accessing refunds for cancelled visa appointments;</w:t>
      </w:r>
      <w:r>
        <w:rPr>
          <w:rFonts w:ascii="Proxima Nova" w:eastAsia="Proxima Nova" w:hAnsi="Proxima Nova" w:cs="Proxima Nova"/>
          <w:vertAlign w:val="superscript"/>
        </w:rPr>
        <w:footnoteReference w:id="10"/>
      </w:r>
      <w:r>
        <w:rPr>
          <w:rFonts w:ascii="Proxima Nova" w:eastAsia="Proxima Nova" w:hAnsi="Proxima Nova" w:cs="Proxima Nova"/>
        </w:rPr>
        <w:t xml:space="preserve"> and data breaches.</w:t>
      </w:r>
      <w:r>
        <w:rPr>
          <w:rFonts w:ascii="Proxima Nova" w:eastAsia="Proxima Nova" w:hAnsi="Proxima Nova" w:cs="Proxima Nova"/>
          <w:vertAlign w:val="superscript"/>
        </w:rPr>
        <w:footnoteReference w:id="11"/>
      </w:r>
      <w:r>
        <w:rPr>
          <w:rFonts w:ascii="Proxima Nova" w:eastAsia="Proxima Nova" w:hAnsi="Proxima Nova" w:cs="Proxima Nova"/>
          <w:vertAlign w:val="superscript"/>
        </w:rPr>
        <w:footnoteReference w:id="12"/>
      </w:r>
    </w:p>
    <w:p w14:paraId="419B9B09" w14:textId="77777777" w:rsidR="009A374A" w:rsidRDefault="00446018">
      <w:pPr>
        <w:pStyle w:val="Heading1"/>
      </w:pPr>
      <w:bookmarkStart w:id="3" w:name="_d8im8cqo7bmx" w:colFirst="0" w:colLast="0"/>
      <w:bookmarkEnd w:id="3"/>
      <w:r>
        <w:t>Switzerland’s obligations under CEDAW</w:t>
      </w:r>
    </w:p>
    <w:p w14:paraId="419B9B0A" w14:textId="77777777" w:rsidR="009A374A" w:rsidRDefault="00446018">
      <w:pPr>
        <w:rPr>
          <w:rFonts w:ascii="Proxima Nova" w:eastAsia="Proxima Nova" w:hAnsi="Proxima Nova" w:cs="Proxima Nova"/>
        </w:rPr>
      </w:pPr>
      <w:r>
        <w:rPr>
          <w:rFonts w:ascii="Proxima Nova" w:eastAsia="Proxima Nova" w:hAnsi="Proxima Nova" w:cs="Proxima Nova"/>
        </w:rPr>
        <w:t xml:space="preserve">As outlined in the previous report, discriminatory visa requirements, particularly regarding access to capital, mean that Switzerland falls short of its obligations under CEDAW Article 15, which promises equal rights to men and women </w:t>
      </w:r>
      <w:proofErr w:type="gramStart"/>
      <w:r>
        <w:rPr>
          <w:rFonts w:ascii="Proxima Nova" w:eastAsia="Proxima Nova" w:hAnsi="Proxima Nova" w:cs="Proxima Nova"/>
        </w:rPr>
        <w:t>with regard to</w:t>
      </w:r>
      <w:proofErr w:type="gramEnd"/>
      <w:r>
        <w:rPr>
          <w:rFonts w:ascii="Proxima Nova" w:eastAsia="Proxima Nova" w:hAnsi="Proxima Nova" w:cs="Proxima Nova"/>
        </w:rPr>
        <w:t xml:space="preserve"> the law relating to the movement of persons. This has a spillover effect on other articles of the Convention, </w:t>
      </w:r>
      <w:r>
        <w:rPr>
          <w:rFonts w:ascii="Proxima Nova" w:eastAsia="Proxima Nova" w:hAnsi="Proxima Nova" w:cs="Proxima Nova"/>
        </w:rPr>
        <w:lastRenderedPageBreak/>
        <w:t>impeding women’s human rights activists from making interventions in multilateral spaces to demand action on the issues affecting their constituencies.</w:t>
      </w:r>
    </w:p>
    <w:p w14:paraId="419B9B0B" w14:textId="77777777" w:rsidR="009A374A" w:rsidRDefault="009A374A">
      <w:pPr>
        <w:rPr>
          <w:rFonts w:ascii="Proxima Nova" w:eastAsia="Proxima Nova" w:hAnsi="Proxima Nova" w:cs="Proxima Nova"/>
        </w:rPr>
      </w:pPr>
    </w:p>
    <w:p w14:paraId="419B9B0C" w14:textId="77777777" w:rsidR="009A374A" w:rsidRDefault="00446018">
      <w:pPr>
        <w:rPr>
          <w:rFonts w:ascii="Proxima Nova" w:eastAsia="Proxima Nova" w:hAnsi="Proxima Nova" w:cs="Proxima Nova"/>
        </w:rPr>
      </w:pPr>
      <w:r>
        <w:rPr>
          <w:rFonts w:ascii="Proxima Nova" w:eastAsia="Proxima Nova" w:hAnsi="Proxima Nova" w:cs="Proxima Nova"/>
        </w:rPr>
        <w:t>CEDAW General Recommendation No. 23 on women in political and public life notes that “While democratic systems have improved women's opportunities for involvement in political</w:t>
      </w:r>
    </w:p>
    <w:p w14:paraId="419B9B0D" w14:textId="77777777" w:rsidR="009A374A" w:rsidRDefault="00446018">
      <w:pPr>
        <w:rPr>
          <w:rFonts w:ascii="Proxima Nova" w:eastAsia="Proxima Nova" w:hAnsi="Proxima Nova" w:cs="Proxima Nova"/>
        </w:rPr>
      </w:pPr>
      <w:r>
        <w:rPr>
          <w:rFonts w:ascii="Proxima Nova" w:eastAsia="Proxima Nova" w:hAnsi="Proxima Nova" w:cs="Proxima Nova"/>
        </w:rPr>
        <w:t>life, the many economic, social and cultural barriers they continue to face have seriously</w:t>
      </w:r>
    </w:p>
    <w:p w14:paraId="419B9B0E" w14:textId="77777777" w:rsidR="009A374A" w:rsidRDefault="00446018">
      <w:pPr>
        <w:rPr>
          <w:rFonts w:ascii="Proxima Nova" w:eastAsia="Proxima Nova" w:hAnsi="Proxima Nova" w:cs="Proxima Nova"/>
        </w:rPr>
      </w:pPr>
      <w:r>
        <w:rPr>
          <w:rFonts w:ascii="Proxima Nova" w:eastAsia="Proxima Nova" w:hAnsi="Proxima Nova" w:cs="Proxima Nova"/>
        </w:rPr>
        <w:t>limited their participation.” Switzerland has a particular responsibility in this context to provide women with “the encouragement and support of all sectors of society to achieve full and effective participation, encouragement which must be led by States parties to the Convention, as well as by political parties and public officials.”</w:t>
      </w:r>
    </w:p>
    <w:p w14:paraId="419B9B0F" w14:textId="77777777" w:rsidR="009A374A" w:rsidRDefault="009A374A">
      <w:pPr>
        <w:rPr>
          <w:rFonts w:ascii="Proxima Nova" w:eastAsia="Proxima Nova" w:hAnsi="Proxima Nova" w:cs="Proxima Nova"/>
        </w:rPr>
      </w:pPr>
    </w:p>
    <w:p w14:paraId="419B9B10" w14:textId="77777777" w:rsidR="009A374A" w:rsidRDefault="00446018">
      <w:pPr>
        <w:rPr>
          <w:rFonts w:ascii="Proxima Nova" w:eastAsia="Proxima Nova" w:hAnsi="Proxima Nova" w:cs="Proxima Nova"/>
        </w:rPr>
      </w:pPr>
      <w:r>
        <w:rPr>
          <w:rFonts w:ascii="Proxima Nova" w:eastAsia="Proxima Nova" w:hAnsi="Proxima Nova" w:cs="Proxima Nova"/>
        </w:rPr>
        <w:t>The opportunity to participate in the work of international organisations is threatened by</w:t>
      </w:r>
    </w:p>
    <w:p w14:paraId="419B9B11" w14:textId="77777777" w:rsidR="009A374A" w:rsidRDefault="00446018">
      <w:pPr>
        <w:rPr>
          <w:rFonts w:ascii="Proxima Nova" w:eastAsia="Proxima Nova" w:hAnsi="Proxima Nova" w:cs="Proxima Nova"/>
        </w:rPr>
      </w:pPr>
      <w:r>
        <w:rPr>
          <w:rFonts w:ascii="Proxima Nova" w:eastAsia="Proxima Nova" w:hAnsi="Proxima Nova" w:cs="Proxima Nova"/>
        </w:rPr>
        <w:t>Schengen visa processes which hinder and block access to the United Nations in Geneva.</w:t>
      </w:r>
    </w:p>
    <w:p w14:paraId="419B9B12" w14:textId="77777777" w:rsidR="009A374A" w:rsidRDefault="00446018">
      <w:pPr>
        <w:rPr>
          <w:rFonts w:ascii="Proxima Nova" w:eastAsia="Proxima Nova" w:hAnsi="Proxima Nova" w:cs="Proxima Nova"/>
        </w:rPr>
      </w:pPr>
      <w:r>
        <w:rPr>
          <w:rFonts w:ascii="Proxima Nova" w:eastAsia="Proxima Nova" w:hAnsi="Proxima Nova" w:cs="Proxima Nova"/>
        </w:rPr>
        <w:t>This barrier is implemented both by Switzerland itself and by other Schengen member states which handle visa applications in the absence of a Swiss embassy. As well as remedying its own discriminatory procedures, Switzerland should, in compliance with its extraterritorial</w:t>
      </w:r>
    </w:p>
    <w:p w14:paraId="419B9B13" w14:textId="77777777" w:rsidR="009A374A" w:rsidRDefault="00446018">
      <w:pPr>
        <w:rPr>
          <w:rFonts w:ascii="Proxima Nova" w:eastAsia="Proxima Nova" w:hAnsi="Proxima Nova" w:cs="Proxima Nova"/>
        </w:rPr>
      </w:pPr>
      <w:r>
        <w:rPr>
          <w:rFonts w:ascii="Proxima Nova" w:eastAsia="Proxima Nova" w:hAnsi="Proxima Nova" w:cs="Proxima Nova"/>
        </w:rPr>
        <w:t>obligations, ensure that other parties acting on its behalf refrain from engaging in discrimination.</w:t>
      </w:r>
    </w:p>
    <w:p w14:paraId="419B9B14" w14:textId="77777777" w:rsidR="009A374A" w:rsidRDefault="009A374A">
      <w:pPr>
        <w:rPr>
          <w:rFonts w:ascii="Proxima Nova" w:eastAsia="Proxima Nova" w:hAnsi="Proxima Nova" w:cs="Proxima Nova"/>
        </w:rPr>
      </w:pPr>
    </w:p>
    <w:p w14:paraId="419B9B15" w14:textId="77777777" w:rsidR="009A374A" w:rsidRDefault="00446018">
      <w:pPr>
        <w:rPr>
          <w:rFonts w:ascii="Proxima Nova" w:eastAsia="Proxima Nova" w:hAnsi="Proxima Nova" w:cs="Proxima Nova"/>
        </w:rPr>
      </w:pPr>
      <w:r>
        <w:rPr>
          <w:rFonts w:ascii="Proxima Nova" w:eastAsia="Proxima Nova" w:hAnsi="Proxima Nova" w:cs="Proxima Nova"/>
        </w:rPr>
        <w:t>The CEDAW Committee’s Concluding Observations on Switzerland’s review in 2022 noted that:</w:t>
      </w:r>
    </w:p>
    <w:p w14:paraId="419B9B16" w14:textId="77777777" w:rsidR="009A374A" w:rsidRDefault="009A374A">
      <w:pPr>
        <w:rPr>
          <w:rFonts w:ascii="Proxima Nova" w:eastAsia="Proxima Nova" w:hAnsi="Proxima Nova" w:cs="Proxima Nova"/>
        </w:rPr>
      </w:pPr>
    </w:p>
    <w:p w14:paraId="419B9B17" w14:textId="77777777" w:rsidR="009A374A" w:rsidRDefault="00446018">
      <w:pPr>
        <w:spacing w:after="260"/>
        <w:ind w:left="708" w:firstLine="11"/>
        <w:rPr>
          <w:rFonts w:ascii="Proxima Nova" w:eastAsia="Proxima Nova" w:hAnsi="Proxima Nova" w:cs="Proxima Nova"/>
        </w:rPr>
      </w:pPr>
      <w:r>
        <w:rPr>
          <w:rFonts w:ascii="Proxima Nova" w:eastAsia="Proxima Nova" w:hAnsi="Proxima Nova" w:cs="Proxima Nova"/>
        </w:rPr>
        <w:t xml:space="preserve">19. </w:t>
      </w:r>
      <w:r>
        <w:rPr>
          <w:rFonts w:ascii="Proxima Nova" w:eastAsia="Proxima Nova" w:hAnsi="Proxima Nova" w:cs="Proxima Nova"/>
        </w:rPr>
        <w:tab/>
        <w:t>[t]he Committee welcomes the State party’s efforts to provide visas to women participants of international conferences in Geneva. It regrets, however, that many women, particularly from the global South, face costly and cumbersome visa application procedures, which pose a considerable obstacle to the representation of women in marginalized situations.</w:t>
      </w:r>
    </w:p>
    <w:p w14:paraId="419B9B18" w14:textId="77777777" w:rsidR="009A374A" w:rsidRDefault="00446018">
      <w:pPr>
        <w:spacing w:before="260" w:after="260"/>
        <w:ind w:left="708" w:firstLine="11"/>
        <w:rPr>
          <w:rFonts w:ascii="Proxima Nova" w:eastAsia="Proxima Nova" w:hAnsi="Proxima Nova" w:cs="Proxima Nova"/>
          <w:b/>
        </w:rPr>
      </w:pPr>
      <w:r>
        <w:rPr>
          <w:rFonts w:ascii="Proxima Nova" w:eastAsia="Proxima Nova" w:hAnsi="Proxima Nova" w:cs="Proxima Nova"/>
        </w:rPr>
        <w:t xml:space="preserve">20. </w:t>
      </w:r>
      <w:r>
        <w:rPr>
          <w:rFonts w:ascii="Proxima Nova" w:eastAsia="Proxima Nova" w:hAnsi="Proxima Nova" w:cs="Proxima Nova"/>
        </w:rPr>
        <w:tab/>
      </w:r>
      <w:r>
        <w:rPr>
          <w:rFonts w:ascii="Proxima Nova" w:eastAsia="Proxima Nova" w:hAnsi="Proxima Nova" w:cs="Proxima Nova"/>
          <w:b/>
        </w:rPr>
        <w:t>The Committee recommends that the State party facilitate the visa application procedure to enable women from all geographic regions to participate in international conferences.</w:t>
      </w:r>
    </w:p>
    <w:p w14:paraId="419B9B19" w14:textId="77777777" w:rsidR="009A374A" w:rsidRDefault="00446018">
      <w:pPr>
        <w:spacing w:before="260" w:after="260"/>
        <w:rPr>
          <w:rFonts w:ascii="Proxima Nova" w:eastAsia="Proxima Nova" w:hAnsi="Proxima Nova" w:cs="Proxima Nova"/>
        </w:rPr>
      </w:pPr>
      <w:r>
        <w:rPr>
          <w:rFonts w:ascii="Proxima Nova" w:eastAsia="Proxima Nova" w:hAnsi="Proxima Nova" w:cs="Proxima Nova"/>
        </w:rPr>
        <w:t>We observe continued non-compliance with this recommendation.</w:t>
      </w:r>
    </w:p>
    <w:p w14:paraId="419B9B1A" w14:textId="77777777" w:rsidR="009A374A" w:rsidRDefault="00446018">
      <w:pPr>
        <w:pStyle w:val="Heading1"/>
      </w:pPr>
      <w:bookmarkStart w:id="4" w:name="_knthhbxaw0pt" w:colFirst="0" w:colLast="0"/>
      <w:bookmarkEnd w:id="4"/>
      <w:r>
        <w:t>Visa barriers to CEDAW participation, 2023-2024</w:t>
      </w:r>
    </w:p>
    <w:p w14:paraId="419B9B1B" w14:textId="77777777" w:rsidR="009A374A" w:rsidRDefault="00446018">
      <w:pPr>
        <w:rPr>
          <w:rFonts w:ascii="Proxima Nova" w:eastAsia="Proxima Nova" w:hAnsi="Proxima Nova" w:cs="Proxima Nova"/>
        </w:rPr>
      </w:pPr>
      <w:r>
        <w:rPr>
          <w:rFonts w:ascii="Proxima Nova" w:eastAsia="Proxima Nova" w:hAnsi="Proxima Nova" w:cs="Proxima Nova"/>
        </w:rPr>
        <w:t>IWRAW Asia Pacific supports NGOs from around the world to engage with the CEDAW review process at each session in Geneva. With almost every session comes the discovery that a Global South women’s rights activist has been prevented from travelling, whether due to outright visa rejection or due to cumbersome visa application processes which make heavy financial demands and/or fail to reflect the time-sensitive nature.</w:t>
      </w:r>
    </w:p>
    <w:p w14:paraId="419B9B1C" w14:textId="77777777" w:rsidR="009A374A" w:rsidRDefault="009A374A">
      <w:pPr>
        <w:rPr>
          <w:rFonts w:ascii="Proxima Nova" w:eastAsia="Proxima Nova" w:hAnsi="Proxima Nova" w:cs="Proxima Nova"/>
        </w:rPr>
      </w:pPr>
    </w:p>
    <w:p w14:paraId="419B9B1D" w14:textId="77777777" w:rsidR="009A374A" w:rsidRDefault="00446018">
      <w:pPr>
        <w:rPr>
          <w:rFonts w:ascii="Proxima Nova" w:eastAsia="Proxima Nova" w:hAnsi="Proxima Nova" w:cs="Proxima Nova"/>
        </w:rPr>
      </w:pPr>
      <w:r>
        <w:rPr>
          <w:rFonts w:ascii="Proxima Nova" w:eastAsia="Proxima Nova" w:hAnsi="Proxima Nova" w:cs="Proxima Nova"/>
        </w:rPr>
        <w:t>The following cases were recorded since the 83rd CEDAW session at which Switzerland was last reviewed.</w:t>
      </w:r>
    </w:p>
    <w:p w14:paraId="419B9B1E" w14:textId="77777777" w:rsidR="009A374A" w:rsidRDefault="009A374A">
      <w:pPr>
        <w:rPr>
          <w:rFonts w:ascii="Proxima Nova" w:eastAsia="Proxima Nova" w:hAnsi="Proxima Nova" w:cs="Proxima Nova"/>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005"/>
        <w:gridCol w:w="3825"/>
        <w:gridCol w:w="1425"/>
        <w:gridCol w:w="1710"/>
      </w:tblGrid>
      <w:tr w:rsidR="009A374A" w14:paraId="419B9B24" w14:textId="77777777">
        <w:tc>
          <w:tcPr>
            <w:tcW w:w="1035" w:type="dxa"/>
            <w:shd w:val="clear" w:color="auto" w:fill="auto"/>
            <w:tcMar>
              <w:top w:w="100" w:type="dxa"/>
              <w:left w:w="100" w:type="dxa"/>
              <w:bottom w:w="100" w:type="dxa"/>
              <w:right w:w="100" w:type="dxa"/>
            </w:tcMar>
          </w:tcPr>
          <w:p w14:paraId="419B9B1F"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lastRenderedPageBreak/>
              <w:t>Case number</w:t>
            </w:r>
          </w:p>
        </w:tc>
        <w:tc>
          <w:tcPr>
            <w:tcW w:w="1005" w:type="dxa"/>
            <w:shd w:val="clear" w:color="auto" w:fill="auto"/>
            <w:tcMar>
              <w:top w:w="100" w:type="dxa"/>
              <w:left w:w="100" w:type="dxa"/>
              <w:bottom w:w="100" w:type="dxa"/>
              <w:right w:w="100" w:type="dxa"/>
            </w:tcMar>
          </w:tcPr>
          <w:p w14:paraId="419B9B20"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CEDAW session</w:t>
            </w:r>
          </w:p>
        </w:tc>
        <w:tc>
          <w:tcPr>
            <w:tcW w:w="3825" w:type="dxa"/>
            <w:shd w:val="clear" w:color="auto" w:fill="auto"/>
            <w:tcMar>
              <w:top w:w="100" w:type="dxa"/>
              <w:left w:w="100" w:type="dxa"/>
              <w:bottom w:w="100" w:type="dxa"/>
              <w:right w:w="100" w:type="dxa"/>
            </w:tcMar>
          </w:tcPr>
          <w:p w14:paraId="419B9B21"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Details</w:t>
            </w:r>
          </w:p>
        </w:tc>
        <w:tc>
          <w:tcPr>
            <w:tcW w:w="1425" w:type="dxa"/>
            <w:shd w:val="clear" w:color="auto" w:fill="auto"/>
            <w:tcMar>
              <w:top w:w="100" w:type="dxa"/>
              <w:left w:w="100" w:type="dxa"/>
              <w:bottom w:w="100" w:type="dxa"/>
              <w:right w:w="100" w:type="dxa"/>
            </w:tcMar>
          </w:tcPr>
          <w:p w14:paraId="419B9B22"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Nationality of applicant</w:t>
            </w:r>
          </w:p>
        </w:tc>
        <w:tc>
          <w:tcPr>
            <w:tcW w:w="1710" w:type="dxa"/>
            <w:shd w:val="clear" w:color="auto" w:fill="auto"/>
            <w:tcMar>
              <w:top w:w="100" w:type="dxa"/>
              <w:left w:w="100" w:type="dxa"/>
              <w:bottom w:w="100" w:type="dxa"/>
              <w:right w:w="100" w:type="dxa"/>
            </w:tcMar>
          </w:tcPr>
          <w:p w14:paraId="419B9B23"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Relevant embassy or consulate</w:t>
            </w:r>
          </w:p>
        </w:tc>
      </w:tr>
      <w:tr w:rsidR="009A374A" w14:paraId="419B9B2A" w14:textId="77777777">
        <w:tc>
          <w:tcPr>
            <w:tcW w:w="1035" w:type="dxa"/>
            <w:shd w:val="clear" w:color="auto" w:fill="auto"/>
            <w:tcMar>
              <w:top w:w="100" w:type="dxa"/>
              <w:left w:w="100" w:type="dxa"/>
              <w:bottom w:w="100" w:type="dxa"/>
              <w:right w:w="100" w:type="dxa"/>
            </w:tcMar>
          </w:tcPr>
          <w:p w14:paraId="419B9B25"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1</w:t>
            </w:r>
          </w:p>
        </w:tc>
        <w:tc>
          <w:tcPr>
            <w:tcW w:w="1005" w:type="dxa"/>
            <w:shd w:val="clear" w:color="auto" w:fill="auto"/>
            <w:tcMar>
              <w:top w:w="100" w:type="dxa"/>
              <w:left w:w="100" w:type="dxa"/>
              <w:bottom w:w="100" w:type="dxa"/>
              <w:right w:w="100" w:type="dxa"/>
            </w:tcMar>
          </w:tcPr>
          <w:p w14:paraId="419B9B26"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84th</w:t>
            </w:r>
          </w:p>
        </w:tc>
        <w:tc>
          <w:tcPr>
            <w:tcW w:w="3825" w:type="dxa"/>
            <w:shd w:val="clear" w:color="auto" w:fill="auto"/>
            <w:tcMar>
              <w:top w:w="100" w:type="dxa"/>
              <w:left w:w="100" w:type="dxa"/>
              <w:bottom w:w="100" w:type="dxa"/>
              <w:right w:w="100" w:type="dxa"/>
            </w:tcMar>
          </w:tcPr>
          <w:p w14:paraId="419B9B27"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No interview slots were available within the timeframe</w:t>
            </w:r>
          </w:p>
        </w:tc>
        <w:tc>
          <w:tcPr>
            <w:tcW w:w="1425" w:type="dxa"/>
            <w:shd w:val="clear" w:color="auto" w:fill="auto"/>
            <w:tcMar>
              <w:top w:w="100" w:type="dxa"/>
              <w:left w:w="100" w:type="dxa"/>
              <w:bottom w:w="100" w:type="dxa"/>
              <w:right w:w="100" w:type="dxa"/>
            </w:tcMar>
          </w:tcPr>
          <w:p w14:paraId="419B9B28"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Mauritania</w:t>
            </w:r>
          </w:p>
        </w:tc>
        <w:tc>
          <w:tcPr>
            <w:tcW w:w="1710" w:type="dxa"/>
            <w:shd w:val="clear" w:color="auto" w:fill="auto"/>
            <w:tcMar>
              <w:top w:w="100" w:type="dxa"/>
              <w:left w:w="100" w:type="dxa"/>
              <w:bottom w:w="100" w:type="dxa"/>
              <w:right w:w="100" w:type="dxa"/>
            </w:tcMar>
          </w:tcPr>
          <w:p w14:paraId="419B9B29"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Switzerland in Mauritania</w:t>
            </w:r>
          </w:p>
        </w:tc>
      </w:tr>
      <w:tr w:rsidR="009A374A" w14:paraId="419B9B30" w14:textId="77777777">
        <w:tc>
          <w:tcPr>
            <w:tcW w:w="1035" w:type="dxa"/>
            <w:shd w:val="clear" w:color="auto" w:fill="auto"/>
            <w:tcMar>
              <w:top w:w="100" w:type="dxa"/>
              <w:left w:w="100" w:type="dxa"/>
              <w:bottom w:w="100" w:type="dxa"/>
              <w:right w:w="100" w:type="dxa"/>
            </w:tcMar>
          </w:tcPr>
          <w:p w14:paraId="419B9B2B"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2</w:t>
            </w:r>
          </w:p>
        </w:tc>
        <w:tc>
          <w:tcPr>
            <w:tcW w:w="1005" w:type="dxa"/>
            <w:shd w:val="clear" w:color="auto" w:fill="auto"/>
            <w:tcMar>
              <w:top w:w="100" w:type="dxa"/>
              <w:left w:w="100" w:type="dxa"/>
              <w:bottom w:w="100" w:type="dxa"/>
              <w:right w:w="100" w:type="dxa"/>
            </w:tcMar>
          </w:tcPr>
          <w:p w14:paraId="419B9B2C"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84th</w:t>
            </w:r>
          </w:p>
        </w:tc>
        <w:tc>
          <w:tcPr>
            <w:tcW w:w="3825" w:type="dxa"/>
            <w:shd w:val="clear" w:color="auto" w:fill="auto"/>
            <w:tcMar>
              <w:top w:w="100" w:type="dxa"/>
              <w:left w:w="100" w:type="dxa"/>
              <w:bottom w:w="100" w:type="dxa"/>
              <w:right w:w="100" w:type="dxa"/>
            </w:tcMar>
          </w:tcPr>
          <w:p w14:paraId="419B9B2D"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The application was rejected because the applicant had requested to remain in the Schengen area for a few extra weeks following Mauritania’s CEDAW review</w:t>
            </w:r>
          </w:p>
        </w:tc>
        <w:tc>
          <w:tcPr>
            <w:tcW w:w="1425" w:type="dxa"/>
            <w:shd w:val="clear" w:color="auto" w:fill="auto"/>
            <w:tcMar>
              <w:top w:w="100" w:type="dxa"/>
              <w:left w:w="100" w:type="dxa"/>
              <w:bottom w:w="100" w:type="dxa"/>
              <w:right w:w="100" w:type="dxa"/>
            </w:tcMar>
          </w:tcPr>
          <w:p w14:paraId="419B9B2E"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Mauritania</w:t>
            </w:r>
          </w:p>
        </w:tc>
        <w:tc>
          <w:tcPr>
            <w:tcW w:w="1710" w:type="dxa"/>
            <w:shd w:val="clear" w:color="auto" w:fill="auto"/>
            <w:tcMar>
              <w:top w:w="100" w:type="dxa"/>
              <w:left w:w="100" w:type="dxa"/>
              <w:bottom w:w="100" w:type="dxa"/>
              <w:right w:w="100" w:type="dxa"/>
            </w:tcMar>
          </w:tcPr>
          <w:p w14:paraId="419B9B2F"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Switzerland in Mauritania</w:t>
            </w:r>
          </w:p>
        </w:tc>
      </w:tr>
      <w:tr w:rsidR="009A374A" w14:paraId="419B9B36" w14:textId="77777777">
        <w:tc>
          <w:tcPr>
            <w:tcW w:w="1035" w:type="dxa"/>
            <w:shd w:val="clear" w:color="auto" w:fill="auto"/>
            <w:tcMar>
              <w:top w:w="100" w:type="dxa"/>
              <w:left w:w="100" w:type="dxa"/>
              <w:bottom w:w="100" w:type="dxa"/>
              <w:right w:w="100" w:type="dxa"/>
            </w:tcMar>
          </w:tcPr>
          <w:p w14:paraId="419B9B31"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3</w:t>
            </w:r>
          </w:p>
        </w:tc>
        <w:tc>
          <w:tcPr>
            <w:tcW w:w="1005" w:type="dxa"/>
            <w:shd w:val="clear" w:color="auto" w:fill="auto"/>
            <w:tcMar>
              <w:top w:w="100" w:type="dxa"/>
              <w:left w:w="100" w:type="dxa"/>
              <w:bottom w:w="100" w:type="dxa"/>
              <w:right w:w="100" w:type="dxa"/>
            </w:tcMar>
          </w:tcPr>
          <w:p w14:paraId="419B9B32"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85th</w:t>
            </w:r>
          </w:p>
        </w:tc>
        <w:tc>
          <w:tcPr>
            <w:tcW w:w="3825" w:type="dxa"/>
            <w:shd w:val="clear" w:color="auto" w:fill="auto"/>
            <w:tcMar>
              <w:top w:w="100" w:type="dxa"/>
              <w:left w:w="100" w:type="dxa"/>
              <w:bottom w:w="100" w:type="dxa"/>
              <w:right w:w="100" w:type="dxa"/>
            </w:tcMar>
          </w:tcPr>
          <w:p w14:paraId="419B9B33"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The application was rejected based on doubts over the veracity of her application. The applicant was a student who was scheduled to assist IWRAW Asia Pacific as an intern during the CEDAW session. Supporting documentation had been provided</w:t>
            </w:r>
          </w:p>
        </w:tc>
        <w:tc>
          <w:tcPr>
            <w:tcW w:w="1425" w:type="dxa"/>
            <w:shd w:val="clear" w:color="auto" w:fill="auto"/>
            <w:tcMar>
              <w:top w:w="100" w:type="dxa"/>
              <w:left w:w="100" w:type="dxa"/>
              <w:bottom w:w="100" w:type="dxa"/>
              <w:right w:w="100" w:type="dxa"/>
            </w:tcMar>
          </w:tcPr>
          <w:p w14:paraId="419B9B34"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India</w:t>
            </w:r>
          </w:p>
        </w:tc>
        <w:tc>
          <w:tcPr>
            <w:tcW w:w="1710" w:type="dxa"/>
            <w:shd w:val="clear" w:color="auto" w:fill="auto"/>
            <w:tcMar>
              <w:top w:w="100" w:type="dxa"/>
              <w:left w:w="100" w:type="dxa"/>
              <w:bottom w:w="100" w:type="dxa"/>
              <w:right w:w="100" w:type="dxa"/>
            </w:tcMar>
          </w:tcPr>
          <w:p w14:paraId="419B9B35"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Switzerland in USA</w:t>
            </w:r>
          </w:p>
        </w:tc>
      </w:tr>
      <w:tr w:rsidR="009A374A" w14:paraId="419B9B42" w14:textId="77777777">
        <w:tc>
          <w:tcPr>
            <w:tcW w:w="1035" w:type="dxa"/>
            <w:shd w:val="clear" w:color="auto" w:fill="auto"/>
            <w:tcMar>
              <w:top w:w="100" w:type="dxa"/>
              <w:left w:w="100" w:type="dxa"/>
              <w:bottom w:w="100" w:type="dxa"/>
              <w:right w:w="100" w:type="dxa"/>
            </w:tcMar>
          </w:tcPr>
          <w:p w14:paraId="419B9B3D" w14:textId="092D2950" w:rsidR="009A374A" w:rsidRDefault="004A53A9">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4</w:t>
            </w:r>
          </w:p>
        </w:tc>
        <w:tc>
          <w:tcPr>
            <w:tcW w:w="1005" w:type="dxa"/>
            <w:shd w:val="clear" w:color="auto" w:fill="auto"/>
            <w:tcMar>
              <w:top w:w="100" w:type="dxa"/>
              <w:left w:w="100" w:type="dxa"/>
              <w:bottom w:w="100" w:type="dxa"/>
              <w:right w:w="100" w:type="dxa"/>
            </w:tcMar>
          </w:tcPr>
          <w:p w14:paraId="419B9B3E"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87th</w:t>
            </w:r>
          </w:p>
        </w:tc>
        <w:tc>
          <w:tcPr>
            <w:tcW w:w="3825" w:type="dxa"/>
            <w:shd w:val="clear" w:color="auto" w:fill="auto"/>
            <w:tcMar>
              <w:top w:w="100" w:type="dxa"/>
              <w:left w:w="100" w:type="dxa"/>
              <w:bottom w:w="100" w:type="dxa"/>
              <w:right w:w="100" w:type="dxa"/>
            </w:tcMar>
          </w:tcPr>
          <w:p w14:paraId="419B9B3F"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The application was rejected because “justification for the purpose and conditions of the visit was not provided”. A support letter had been provided by an international NGO, non-refundable flight tickets had been purchased, and an interpreter had been arranged</w:t>
            </w:r>
          </w:p>
        </w:tc>
        <w:tc>
          <w:tcPr>
            <w:tcW w:w="1425" w:type="dxa"/>
            <w:shd w:val="clear" w:color="auto" w:fill="auto"/>
            <w:tcMar>
              <w:top w:w="100" w:type="dxa"/>
              <w:left w:w="100" w:type="dxa"/>
              <w:bottom w:w="100" w:type="dxa"/>
              <w:right w:w="100" w:type="dxa"/>
            </w:tcMar>
          </w:tcPr>
          <w:p w14:paraId="419B9B40"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Central African Republic</w:t>
            </w:r>
          </w:p>
        </w:tc>
        <w:tc>
          <w:tcPr>
            <w:tcW w:w="1710" w:type="dxa"/>
            <w:shd w:val="clear" w:color="auto" w:fill="auto"/>
            <w:tcMar>
              <w:top w:w="100" w:type="dxa"/>
              <w:left w:w="100" w:type="dxa"/>
              <w:bottom w:w="100" w:type="dxa"/>
              <w:right w:w="100" w:type="dxa"/>
            </w:tcMar>
          </w:tcPr>
          <w:p w14:paraId="419B9B41"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France in Central African Republic</w:t>
            </w:r>
          </w:p>
        </w:tc>
      </w:tr>
      <w:tr w:rsidR="009A374A" w14:paraId="419B9B48" w14:textId="77777777">
        <w:tc>
          <w:tcPr>
            <w:tcW w:w="1035" w:type="dxa"/>
            <w:shd w:val="clear" w:color="auto" w:fill="auto"/>
            <w:tcMar>
              <w:top w:w="100" w:type="dxa"/>
              <w:left w:w="100" w:type="dxa"/>
              <w:bottom w:w="100" w:type="dxa"/>
              <w:right w:w="100" w:type="dxa"/>
            </w:tcMar>
          </w:tcPr>
          <w:p w14:paraId="419B9B43" w14:textId="3F24AA1E" w:rsidR="009A374A" w:rsidRDefault="004A53A9">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5</w:t>
            </w:r>
          </w:p>
        </w:tc>
        <w:tc>
          <w:tcPr>
            <w:tcW w:w="1005" w:type="dxa"/>
            <w:shd w:val="clear" w:color="auto" w:fill="auto"/>
            <w:tcMar>
              <w:top w:w="100" w:type="dxa"/>
              <w:left w:w="100" w:type="dxa"/>
              <w:bottom w:w="100" w:type="dxa"/>
              <w:right w:w="100" w:type="dxa"/>
            </w:tcMar>
          </w:tcPr>
          <w:p w14:paraId="419B9B44"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87th</w:t>
            </w:r>
          </w:p>
        </w:tc>
        <w:tc>
          <w:tcPr>
            <w:tcW w:w="3825" w:type="dxa"/>
            <w:shd w:val="clear" w:color="auto" w:fill="auto"/>
            <w:tcMar>
              <w:top w:w="100" w:type="dxa"/>
              <w:left w:w="100" w:type="dxa"/>
              <w:bottom w:w="100" w:type="dxa"/>
              <w:right w:w="100" w:type="dxa"/>
            </w:tcMar>
          </w:tcPr>
          <w:p w14:paraId="419B9B45"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The applicant’s visa was approved, but it was not possible to get her passport back from the embassy in a third country in time to travel</w:t>
            </w:r>
          </w:p>
        </w:tc>
        <w:tc>
          <w:tcPr>
            <w:tcW w:w="1425" w:type="dxa"/>
            <w:shd w:val="clear" w:color="auto" w:fill="auto"/>
            <w:tcMar>
              <w:top w:w="100" w:type="dxa"/>
              <w:left w:w="100" w:type="dxa"/>
              <w:bottom w:w="100" w:type="dxa"/>
              <w:right w:w="100" w:type="dxa"/>
            </w:tcMar>
          </w:tcPr>
          <w:p w14:paraId="419B9B46"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Tajikistan</w:t>
            </w:r>
          </w:p>
        </w:tc>
        <w:tc>
          <w:tcPr>
            <w:tcW w:w="1710" w:type="dxa"/>
            <w:shd w:val="clear" w:color="auto" w:fill="auto"/>
            <w:tcMar>
              <w:top w:w="100" w:type="dxa"/>
              <w:left w:w="100" w:type="dxa"/>
              <w:bottom w:w="100" w:type="dxa"/>
              <w:right w:w="100" w:type="dxa"/>
            </w:tcMar>
          </w:tcPr>
          <w:p w14:paraId="419B9B47"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Switzerland in Kazakhstan</w:t>
            </w:r>
          </w:p>
        </w:tc>
      </w:tr>
      <w:tr w:rsidR="009A374A" w14:paraId="419B9B4E" w14:textId="77777777">
        <w:trPr>
          <w:trHeight w:val="2155"/>
        </w:trPr>
        <w:tc>
          <w:tcPr>
            <w:tcW w:w="1035" w:type="dxa"/>
            <w:shd w:val="clear" w:color="auto" w:fill="auto"/>
            <w:tcMar>
              <w:top w:w="100" w:type="dxa"/>
              <w:left w:w="100" w:type="dxa"/>
              <w:bottom w:w="100" w:type="dxa"/>
              <w:right w:w="100" w:type="dxa"/>
            </w:tcMar>
          </w:tcPr>
          <w:p w14:paraId="419B9B49" w14:textId="7D3968B1" w:rsidR="009A374A" w:rsidRDefault="004A53A9">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6</w:t>
            </w:r>
          </w:p>
        </w:tc>
        <w:tc>
          <w:tcPr>
            <w:tcW w:w="1005" w:type="dxa"/>
            <w:shd w:val="clear" w:color="auto" w:fill="auto"/>
            <w:tcMar>
              <w:top w:w="100" w:type="dxa"/>
              <w:left w:w="100" w:type="dxa"/>
              <w:bottom w:w="100" w:type="dxa"/>
              <w:right w:w="100" w:type="dxa"/>
            </w:tcMar>
          </w:tcPr>
          <w:p w14:paraId="419B9B4A"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89th</w:t>
            </w:r>
          </w:p>
        </w:tc>
        <w:tc>
          <w:tcPr>
            <w:tcW w:w="3825" w:type="dxa"/>
            <w:vMerge w:val="restart"/>
            <w:shd w:val="clear" w:color="auto" w:fill="auto"/>
            <w:tcMar>
              <w:top w:w="100" w:type="dxa"/>
              <w:left w:w="100" w:type="dxa"/>
              <w:bottom w:w="100" w:type="dxa"/>
              <w:right w:w="100" w:type="dxa"/>
            </w:tcMar>
          </w:tcPr>
          <w:p w14:paraId="419B9B4B" w14:textId="72B9934E" w:rsidR="009A374A" w:rsidRDefault="00446018">
            <w:pPr>
              <w:widowControl w:val="0"/>
              <w:spacing w:line="240" w:lineRule="auto"/>
              <w:rPr>
                <w:rFonts w:ascii="Proxima Nova" w:eastAsia="Proxima Nova" w:hAnsi="Proxima Nova" w:cs="Proxima Nova"/>
              </w:rPr>
            </w:pPr>
            <w:proofErr w:type="gramStart"/>
            <w:r>
              <w:rPr>
                <w:rFonts w:ascii="Proxima Nova" w:eastAsia="Proxima Nova" w:hAnsi="Proxima Nova" w:cs="Proxima Nova"/>
              </w:rPr>
              <w:t>Both of these</w:t>
            </w:r>
            <w:proofErr w:type="gramEnd"/>
            <w:r>
              <w:rPr>
                <w:rFonts w:ascii="Proxima Nova" w:eastAsia="Proxima Nova" w:hAnsi="Proxima Nova" w:cs="Proxima Nova"/>
              </w:rPr>
              <w:t xml:space="preserve"> applications were rejected. Reasons cited were that there was unclear justification of the purpose of visit (full documentation had been provided, including UN approval letter and support letters from two international NGOs); condition of stay (accommodation had been booked and confirmed); and that intention of return could not be established. Additionally, Applicant 8 was </w:t>
            </w:r>
            <w:r w:rsidR="004B53B5">
              <w:rPr>
                <w:rFonts w:ascii="Proxima Nova" w:eastAsia="Proxima Nova" w:hAnsi="Proxima Nova" w:cs="Proxima Nova"/>
              </w:rPr>
              <w:t xml:space="preserve">reportedly </w:t>
            </w:r>
            <w:r>
              <w:rPr>
                <w:rFonts w:ascii="Proxima Nova" w:eastAsia="Proxima Nova" w:hAnsi="Proxima Nova" w:cs="Proxima Nova"/>
              </w:rPr>
              <w:t>asked “very odd questions” during her interview, and she was questioned about her English proficiency</w:t>
            </w:r>
          </w:p>
        </w:tc>
        <w:tc>
          <w:tcPr>
            <w:tcW w:w="1425" w:type="dxa"/>
            <w:shd w:val="clear" w:color="auto" w:fill="auto"/>
            <w:tcMar>
              <w:top w:w="100" w:type="dxa"/>
              <w:left w:w="100" w:type="dxa"/>
              <w:bottom w:w="100" w:type="dxa"/>
              <w:right w:w="100" w:type="dxa"/>
            </w:tcMar>
          </w:tcPr>
          <w:p w14:paraId="419B9B4C"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Nepal</w:t>
            </w:r>
          </w:p>
        </w:tc>
        <w:tc>
          <w:tcPr>
            <w:tcW w:w="1710" w:type="dxa"/>
            <w:shd w:val="clear" w:color="auto" w:fill="auto"/>
            <w:tcMar>
              <w:top w:w="100" w:type="dxa"/>
              <w:left w:w="100" w:type="dxa"/>
              <w:bottom w:w="100" w:type="dxa"/>
              <w:right w:w="100" w:type="dxa"/>
            </w:tcMar>
          </w:tcPr>
          <w:p w14:paraId="419B9B4D"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Switzerland in Nepal</w:t>
            </w:r>
          </w:p>
        </w:tc>
      </w:tr>
      <w:tr w:rsidR="009A374A" w14:paraId="419B9B54" w14:textId="77777777">
        <w:trPr>
          <w:trHeight w:val="420"/>
        </w:trPr>
        <w:tc>
          <w:tcPr>
            <w:tcW w:w="1035" w:type="dxa"/>
            <w:shd w:val="clear" w:color="auto" w:fill="auto"/>
            <w:tcMar>
              <w:top w:w="100" w:type="dxa"/>
              <w:left w:w="100" w:type="dxa"/>
              <w:bottom w:w="100" w:type="dxa"/>
              <w:right w:w="100" w:type="dxa"/>
            </w:tcMar>
          </w:tcPr>
          <w:p w14:paraId="419B9B4F" w14:textId="239EEC93" w:rsidR="009A374A" w:rsidRDefault="004A53A9">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7</w:t>
            </w:r>
          </w:p>
        </w:tc>
        <w:tc>
          <w:tcPr>
            <w:tcW w:w="1005" w:type="dxa"/>
            <w:shd w:val="clear" w:color="auto" w:fill="auto"/>
            <w:tcMar>
              <w:top w:w="100" w:type="dxa"/>
              <w:left w:w="100" w:type="dxa"/>
              <w:bottom w:w="100" w:type="dxa"/>
              <w:right w:w="100" w:type="dxa"/>
            </w:tcMar>
          </w:tcPr>
          <w:p w14:paraId="419B9B50"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89th</w:t>
            </w:r>
          </w:p>
        </w:tc>
        <w:tc>
          <w:tcPr>
            <w:tcW w:w="3825" w:type="dxa"/>
            <w:vMerge/>
            <w:shd w:val="clear" w:color="auto" w:fill="auto"/>
            <w:tcMar>
              <w:top w:w="100" w:type="dxa"/>
              <w:left w:w="100" w:type="dxa"/>
              <w:bottom w:w="100" w:type="dxa"/>
              <w:right w:w="100" w:type="dxa"/>
            </w:tcMar>
          </w:tcPr>
          <w:p w14:paraId="419B9B51" w14:textId="77777777" w:rsidR="009A374A" w:rsidRDefault="009A374A">
            <w:pPr>
              <w:widowControl w:val="0"/>
              <w:spacing w:line="240" w:lineRule="auto"/>
              <w:rPr>
                <w:rFonts w:ascii="Proxima Nova" w:eastAsia="Proxima Nova" w:hAnsi="Proxima Nova" w:cs="Proxima Nova"/>
              </w:rPr>
            </w:pPr>
          </w:p>
        </w:tc>
        <w:tc>
          <w:tcPr>
            <w:tcW w:w="1425" w:type="dxa"/>
            <w:shd w:val="clear" w:color="auto" w:fill="auto"/>
            <w:tcMar>
              <w:top w:w="100" w:type="dxa"/>
              <w:left w:w="100" w:type="dxa"/>
              <w:bottom w:w="100" w:type="dxa"/>
              <w:right w:w="100" w:type="dxa"/>
            </w:tcMar>
          </w:tcPr>
          <w:p w14:paraId="419B9B52"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Nepal</w:t>
            </w:r>
          </w:p>
        </w:tc>
        <w:tc>
          <w:tcPr>
            <w:tcW w:w="1710" w:type="dxa"/>
            <w:shd w:val="clear" w:color="auto" w:fill="auto"/>
            <w:tcMar>
              <w:top w:w="100" w:type="dxa"/>
              <w:left w:w="100" w:type="dxa"/>
              <w:bottom w:w="100" w:type="dxa"/>
              <w:right w:w="100" w:type="dxa"/>
            </w:tcMar>
          </w:tcPr>
          <w:p w14:paraId="419B9B53"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Switzerland in Nepal</w:t>
            </w:r>
          </w:p>
        </w:tc>
      </w:tr>
      <w:tr w:rsidR="009A374A" w14:paraId="419B9B5A" w14:textId="77777777">
        <w:tc>
          <w:tcPr>
            <w:tcW w:w="1035" w:type="dxa"/>
            <w:shd w:val="clear" w:color="auto" w:fill="auto"/>
            <w:tcMar>
              <w:top w:w="100" w:type="dxa"/>
              <w:left w:w="100" w:type="dxa"/>
              <w:bottom w:w="100" w:type="dxa"/>
              <w:right w:w="100" w:type="dxa"/>
            </w:tcMar>
          </w:tcPr>
          <w:p w14:paraId="419B9B55" w14:textId="034DCF28" w:rsidR="009A374A" w:rsidRDefault="004A53A9">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lastRenderedPageBreak/>
              <w:t>8</w:t>
            </w:r>
          </w:p>
        </w:tc>
        <w:tc>
          <w:tcPr>
            <w:tcW w:w="1005" w:type="dxa"/>
            <w:shd w:val="clear" w:color="auto" w:fill="auto"/>
            <w:tcMar>
              <w:top w:w="100" w:type="dxa"/>
              <w:left w:w="100" w:type="dxa"/>
              <w:bottom w:w="100" w:type="dxa"/>
              <w:right w:w="100" w:type="dxa"/>
            </w:tcMar>
          </w:tcPr>
          <w:p w14:paraId="419B9B56"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89th</w:t>
            </w:r>
          </w:p>
        </w:tc>
        <w:tc>
          <w:tcPr>
            <w:tcW w:w="3825" w:type="dxa"/>
            <w:shd w:val="clear" w:color="auto" w:fill="auto"/>
            <w:tcMar>
              <w:top w:w="100" w:type="dxa"/>
              <w:left w:w="100" w:type="dxa"/>
              <w:bottom w:w="100" w:type="dxa"/>
              <w:right w:w="100" w:type="dxa"/>
            </w:tcMar>
          </w:tcPr>
          <w:p w14:paraId="419B9B57" w14:textId="64022629"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 xml:space="preserve">The application was rejected </w:t>
            </w:r>
            <w:r w:rsidR="00852206">
              <w:rPr>
                <w:rFonts w:ascii="Proxima Nova" w:eastAsia="Proxima Nova" w:hAnsi="Proxima Nova" w:cs="Proxima Nova"/>
              </w:rPr>
              <w:t>because an</w:t>
            </w:r>
            <w:r>
              <w:rPr>
                <w:rFonts w:ascii="Proxima Nova" w:eastAsia="Proxima Nova" w:hAnsi="Proxima Nova" w:cs="Proxima Nova"/>
              </w:rPr>
              <w:t xml:space="preserve"> expired US visa</w:t>
            </w:r>
            <w:r w:rsidR="00852206">
              <w:rPr>
                <w:rFonts w:ascii="Proxima Nova" w:eastAsia="Proxima Nova" w:hAnsi="Proxima Nova" w:cs="Proxima Nova"/>
              </w:rPr>
              <w:t xml:space="preserve"> was seen in the applicant’s passport</w:t>
            </w:r>
            <w:r>
              <w:rPr>
                <w:rFonts w:ascii="Proxima Nova" w:eastAsia="Proxima Nova" w:hAnsi="Proxima Nova" w:cs="Proxima Nova"/>
              </w:rPr>
              <w:t>, even though she had a current one. She was told that she would have to start the process all over again, which would not be possible given the timeframe</w:t>
            </w:r>
          </w:p>
        </w:tc>
        <w:tc>
          <w:tcPr>
            <w:tcW w:w="1425" w:type="dxa"/>
            <w:shd w:val="clear" w:color="auto" w:fill="auto"/>
            <w:tcMar>
              <w:top w:w="100" w:type="dxa"/>
              <w:left w:w="100" w:type="dxa"/>
              <w:bottom w:w="100" w:type="dxa"/>
              <w:right w:w="100" w:type="dxa"/>
            </w:tcMar>
          </w:tcPr>
          <w:p w14:paraId="419B9B58"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Kenya</w:t>
            </w:r>
          </w:p>
        </w:tc>
        <w:tc>
          <w:tcPr>
            <w:tcW w:w="1710" w:type="dxa"/>
            <w:shd w:val="clear" w:color="auto" w:fill="auto"/>
            <w:tcMar>
              <w:top w:w="100" w:type="dxa"/>
              <w:left w:w="100" w:type="dxa"/>
              <w:bottom w:w="100" w:type="dxa"/>
              <w:right w:w="100" w:type="dxa"/>
            </w:tcMar>
          </w:tcPr>
          <w:p w14:paraId="419B9B59" w14:textId="77777777" w:rsidR="009A374A" w:rsidRDefault="00446018">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Lithuania in USA</w:t>
            </w:r>
          </w:p>
        </w:tc>
      </w:tr>
    </w:tbl>
    <w:p w14:paraId="419B9B5B" w14:textId="77777777" w:rsidR="009A374A" w:rsidRDefault="00446018">
      <w:pPr>
        <w:rPr>
          <w:rFonts w:ascii="Proxima Nova" w:eastAsia="Proxima Nova" w:hAnsi="Proxima Nova" w:cs="Proxima Nova"/>
        </w:rPr>
      </w:pPr>
      <w:r>
        <w:rPr>
          <w:rFonts w:ascii="Proxima Nova" w:eastAsia="Proxima Nova" w:hAnsi="Proxima Nova" w:cs="Proxima Nova"/>
        </w:rPr>
        <w:t xml:space="preserve"> </w:t>
      </w:r>
    </w:p>
    <w:p w14:paraId="419B9B5C" w14:textId="5789A489" w:rsidR="009A374A" w:rsidRDefault="00446018">
      <w:pPr>
        <w:rPr>
          <w:rFonts w:ascii="Proxima Nova" w:eastAsia="Proxima Nova" w:hAnsi="Proxima Nova" w:cs="Proxima Nova"/>
        </w:rPr>
      </w:pPr>
      <w:r>
        <w:rPr>
          <w:rFonts w:ascii="Proxima Nova" w:eastAsia="Proxima Nova" w:hAnsi="Proxima Nova" w:cs="Proxima Nova"/>
        </w:rPr>
        <w:t xml:space="preserve">In the case of applicants </w:t>
      </w:r>
      <w:r w:rsidR="004A53A9">
        <w:rPr>
          <w:rFonts w:ascii="Proxima Nova" w:eastAsia="Proxima Nova" w:hAnsi="Proxima Nova" w:cs="Proxima Nova"/>
        </w:rPr>
        <w:t>6</w:t>
      </w:r>
      <w:r>
        <w:rPr>
          <w:rFonts w:ascii="Proxima Nova" w:eastAsia="Proxima Nova" w:hAnsi="Proxima Nova" w:cs="Proxima Nova"/>
        </w:rPr>
        <w:t xml:space="preserve"> and </w:t>
      </w:r>
      <w:r w:rsidR="004A53A9">
        <w:rPr>
          <w:rFonts w:ascii="Proxima Nova" w:eastAsia="Proxima Nova" w:hAnsi="Proxima Nova" w:cs="Proxima Nova"/>
        </w:rPr>
        <w:t>7</w:t>
      </w:r>
      <w:r>
        <w:rPr>
          <w:rFonts w:ascii="Proxima Nova" w:eastAsia="Proxima Nova" w:hAnsi="Proxima Nova" w:cs="Proxima Nova"/>
        </w:rPr>
        <w:t>, filing an appeal was considered but rejected due to the tight timeframe. The supporting NGOs had already poured many hours into preparing the application, and as the initial application had included submission of all relevant documents, it was also unclear how an appeal might lead to a different outcome. An NGO staff member remarked, “What would be useful when they deny visas is to know more about the grounds of denials so that we can supplement the application during appeal. We did not get any substantial information on this from the embassy.”</w:t>
      </w:r>
    </w:p>
    <w:p w14:paraId="419B9B5D" w14:textId="77777777" w:rsidR="009A374A" w:rsidRDefault="00446018">
      <w:pPr>
        <w:pStyle w:val="Heading1"/>
      </w:pPr>
      <w:bookmarkStart w:id="5" w:name="_es1ec1oefyic" w:colFirst="0" w:colLast="0"/>
      <w:bookmarkEnd w:id="5"/>
      <w:r>
        <w:t>Recommendations</w:t>
      </w:r>
    </w:p>
    <w:p w14:paraId="419B9B5E" w14:textId="77777777" w:rsidR="009A374A" w:rsidRDefault="009A374A">
      <w:pPr>
        <w:rPr>
          <w:rFonts w:ascii="Proxima Nova" w:eastAsia="Proxima Nova" w:hAnsi="Proxima Nova" w:cs="Proxima Nova"/>
          <w:b/>
        </w:rPr>
      </w:pPr>
    </w:p>
    <w:p w14:paraId="419B9B5F" w14:textId="69D4D69C"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 xml:space="preserve">All parties processing visa applications on behalf of the state party should be obliged to take a proactive approach to applications relating to participation in United Nations </w:t>
      </w:r>
      <w:r w:rsidR="00427041">
        <w:rPr>
          <w:rFonts w:ascii="Proxima Nova" w:eastAsia="Proxima Nova" w:hAnsi="Proxima Nova" w:cs="Proxima Nova"/>
        </w:rPr>
        <w:t>meeting</w:t>
      </w:r>
      <w:r>
        <w:rPr>
          <w:rFonts w:ascii="Proxima Nova" w:eastAsia="Proxima Nova" w:hAnsi="Proxima Nova" w:cs="Proxima Nova"/>
        </w:rPr>
        <w:t>s</w:t>
      </w:r>
    </w:p>
    <w:p w14:paraId="419B9B60" w14:textId="4D5740F0"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 xml:space="preserve">Data should be collected and published on rejections </w:t>
      </w:r>
      <w:r w:rsidR="00427041">
        <w:rPr>
          <w:rFonts w:ascii="Proxima Nova" w:eastAsia="Proxima Nova" w:hAnsi="Proxima Nova" w:cs="Proxima Nova"/>
        </w:rPr>
        <w:t>of</w:t>
      </w:r>
      <w:r>
        <w:rPr>
          <w:rFonts w:ascii="Proxima Nova" w:eastAsia="Proxima Nova" w:hAnsi="Proxima Nova" w:cs="Proxima Nova"/>
        </w:rPr>
        <w:t xml:space="preserve"> visa applications relating to access to the United Nations, aggregated by gender, nationality, and location of embassy or visa processing centre</w:t>
      </w:r>
    </w:p>
    <w:p w14:paraId="419B9B61"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The state party should report on the steps it has taken to address the issue of Global South activists’ access to the United Nations following the recommendation made by the CEDAW Committee at its last review</w:t>
      </w:r>
    </w:p>
    <w:p w14:paraId="419B9B62" w14:textId="1643D92C"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 xml:space="preserve">Visa application requirements should be standardised among all parties handling visa applications on behalf of the state party, to ensure greater and more egalitarian access to the </w:t>
      </w:r>
      <w:r w:rsidR="00427041">
        <w:rPr>
          <w:rFonts w:ascii="Proxima Nova" w:eastAsia="Proxima Nova" w:hAnsi="Proxima Nova" w:cs="Proxima Nova"/>
        </w:rPr>
        <w:t>United Nations</w:t>
      </w:r>
      <w:r>
        <w:rPr>
          <w:rFonts w:ascii="Proxima Nova" w:eastAsia="Proxima Nova" w:hAnsi="Proxima Nova" w:cs="Proxima Nova"/>
        </w:rPr>
        <w:t>, particularly for women from the Global South</w:t>
      </w:r>
    </w:p>
    <w:p w14:paraId="419B9B63"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All parties processing visa applications should be easily contactable by and responsive to applicants</w:t>
      </w:r>
    </w:p>
    <w:p w14:paraId="419B9B64"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Appointment slots for visa applications should be made available within a reasonable timeframe, and urgent steps should be taken to resolve any obstacles to this</w:t>
      </w:r>
    </w:p>
    <w:p w14:paraId="419B9B65"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The financial burden of visa application procedures should be minimised, including through:</w:t>
      </w:r>
    </w:p>
    <w:p w14:paraId="419B9B66" w14:textId="5B03C868" w:rsidR="009A374A" w:rsidRDefault="00446018">
      <w:pPr>
        <w:numPr>
          <w:ilvl w:val="1"/>
          <w:numId w:val="1"/>
        </w:numPr>
        <w:rPr>
          <w:rFonts w:ascii="Proxima Nova" w:eastAsia="Proxima Nova" w:hAnsi="Proxima Nova" w:cs="Proxima Nova"/>
        </w:rPr>
      </w:pPr>
      <w:r>
        <w:rPr>
          <w:rFonts w:ascii="Proxima Nova" w:eastAsia="Proxima Nova" w:hAnsi="Proxima Nova" w:cs="Proxima Nova"/>
        </w:rPr>
        <w:t>equalising the cost of all visa applications regardless of whether applicant</w:t>
      </w:r>
      <w:r w:rsidR="00365830">
        <w:rPr>
          <w:rFonts w:ascii="Proxima Nova" w:eastAsia="Proxima Nova" w:hAnsi="Proxima Nova" w:cs="Proxima Nova"/>
        </w:rPr>
        <w:t>s are</w:t>
      </w:r>
      <w:r>
        <w:rPr>
          <w:rFonts w:ascii="Proxima Nova" w:eastAsia="Proxima Nova" w:hAnsi="Proxima Nova" w:cs="Proxima Nova"/>
        </w:rPr>
        <w:t xml:space="preserve"> from Europe or </w:t>
      </w:r>
      <w:proofErr w:type="gramStart"/>
      <w:r>
        <w:rPr>
          <w:rFonts w:ascii="Proxima Nova" w:eastAsia="Proxima Nova" w:hAnsi="Proxima Nova" w:cs="Proxima Nova"/>
        </w:rPr>
        <w:t>elsewhere;</w:t>
      </w:r>
      <w:proofErr w:type="gramEnd"/>
    </w:p>
    <w:p w14:paraId="419B9B67" w14:textId="77777777" w:rsidR="009A374A" w:rsidRDefault="00446018">
      <w:pPr>
        <w:numPr>
          <w:ilvl w:val="1"/>
          <w:numId w:val="1"/>
        </w:numPr>
        <w:rPr>
          <w:rFonts w:ascii="Proxima Nova" w:eastAsia="Proxima Nova" w:hAnsi="Proxima Nova" w:cs="Proxima Nova"/>
        </w:rPr>
      </w:pPr>
      <w:r>
        <w:rPr>
          <w:rFonts w:ascii="Proxima Nova" w:eastAsia="Proxima Nova" w:hAnsi="Proxima Nova" w:cs="Proxima Nova"/>
        </w:rPr>
        <w:t xml:space="preserve">a zero-tolerance approach to profiteering from the current scarcity of visa appointment slots, including by private-sector companies to whom Schengen visa processing is </w:t>
      </w:r>
      <w:proofErr w:type="gramStart"/>
      <w:r>
        <w:rPr>
          <w:rFonts w:ascii="Proxima Nova" w:eastAsia="Proxima Nova" w:hAnsi="Proxima Nova" w:cs="Proxima Nova"/>
        </w:rPr>
        <w:t>outsourced;</w:t>
      </w:r>
      <w:proofErr w:type="gramEnd"/>
    </w:p>
    <w:p w14:paraId="419B9B68" w14:textId="77777777" w:rsidR="009A374A" w:rsidRDefault="00446018">
      <w:pPr>
        <w:numPr>
          <w:ilvl w:val="1"/>
          <w:numId w:val="1"/>
        </w:numPr>
        <w:rPr>
          <w:rFonts w:ascii="Proxima Nova" w:eastAsia="Proxima Nova" w:hAnsi="Proxima Nova" w:cs="Proxima Nova"/>
        </w:rPr>
      </w:pPr>
      <w:r>
        <w:rPr>
          <w:rFonts w:ascii="Proxima Nova" w:eastAsia="Proxima Nova" w:hAnsi="Proxima Nova" w:cs="Proxima Nova"/>
        </w:rPr>
        <w:t>reducing the number of times an applicant must attend physical interview for</w:t>
      </w:r>
    </w:p>
    <w:p w14:paraId="419B9B69" w14:textId="77777777" w:rsidR="009A374A" w:rsidRDefault="00446018">
      <w:pPr>
        <w:ind w:left="1440"/>
        <w:rPr>
          <w:rFonts w:ascii="Proxima Nova" w:eastAsia="Proxima Nova" w:hAnsi="Proxima Nova" w:cs="Proxima Nova"/>
        </w:rPr>
      </w:pPr>
      <w:r>
        <w:rPr>
          <w:rFonts w:ascii="Proxima Nova" w:eastAsia="Proxima Nova" w:hAnsi="Proxima Nova" w:cs="Proxima Nova"/>
        </w:rPr>
        <w:t>a single application, by permitting online submission of any additional</w:t>
      </w:r>
    </w:p>
    <w:p w14:paraId="419B9B6A" w14:textId="77777777" w:rsidR="009A374A" w:rsidRDefault="00446018">
      <w:pPr>
        <w:ind w:left="1440"/>
        <w:rPr>
          <w:rFonts w:ascii="Proxima Nova" w:eastAsia="Proxima Nova" w:hAnsi="Proxima Nova" w:cs="Proxima Nova"/>
        </w:rPr>
      </w:pPr>
      <w:r>
        <w:rPr>
          <w:rFonts w:ascii="Proxima Nova" w:eastAsia="Proxima Nova" w:hAnsi="Proxima Nova" w:cs="Proxima Nova"/>
        </w:rPr>
        <w:lastRenderedPageBreak/>
        <w:t>documentation requested, and providing the option for virtual interviews if</w:t>
      </w:r>
    </w:p>
    <w:p w14:paraId="419B9B6B" w14:textId="77777777" w:rsidR="009A374A" w:rsidRDefault="00446018">
      <w:pPr>
        <w:ind w:left="1440"/>
        <w:rPr>
          <w:rFonts w:ascii="Proxima Nova" w:eastAsia="Proxima Nova" w:hAnsi="Proxima Nova" w:cs="Proxima Nova"/>
        </w:rPr>
      </w:pPr>
      <w:r>
        <w:rPr>
          <w:rFonts w:ascii="Proxima Nova" w:eastAsia="Proxima Nova" w:hAnsi="Proxima Nova" w:cs="Proxima Nova"/>
        </w:rPr>
        <w:t xml:space="preserve">follow-up is </w:t>
      </w:r>
      <w:proofErr w:type="gramStart"/>
      <w:r>
        <w:rPr>
          <w:rFonts w:ascii="Proxima Nova" w:eastAsia="Proxima Nova" w:hAnsi="Proxima Nova" w:cs="Proxima Nova"/>
        </w:rPr>
        <w:t>needed;</w:t>
      </w:r>
      <w:proofErr w:type="gramEnd"/>
    </w:p>
    <w:p w14:paraId="419B9B6C" w14:textId="77777777" w:rsidR="009A374A" w:rsidRDefault="00446018">
      <w:pPr>
        <w:numPr>
          <w:ilvl w:val="1"/>
          <w:numId w:val="1"/>
        </w:numPr>
        <w:rPr>
          <w:rFonts w:ascii="Proxima Nova" w:eastAsia="Proxima Nova" w:hAnsi="Proxima Nova" w:cs="Proxima Nova"/>
        </w:rPr>
      </w:pPr>
      <w:r>
        <w:rPr>
          <w:rFonts w:ascii="Proxima Nova" w:eastAsia="Proxima Nova" w:hAnsi="Proxima Nova" w:cs="Proxima Nova"/>
        </w:rPr>
        <w:t xml:space="preserve">removing requirements for applicants to provide a copy of flight reservations, given the higher cost of refundable tickets and the expenses incurred should the application be </w:t>
      </w:r>
      <w:proofErr w:type="gramStart"/>
      <w:r>
        <w:rPr>
          <w:rFonts w:ascii="Proxima Nova" w:eastAsia="Proxima Nova" w:hAnsi="Proxima Nova" w:cs="Proxima Nova"/>
        </w:rPr>
        <w:t>rejected;</w:t>
      </w:r>
      <w:proofErr w:type="gramEnd"/>
    </w:p>
    <w:p w14:paraId="419B9B6D" w14:textId="77777777" w:rsidR="009A374A" w:rsidRDefault="00446018">
      <w:pPr>
        <w:numPr>
          <w:ilvl w:val="1"/>
          <w:numId w:val="1"/>
        </w:numPr>
        <w:rPr>
          <w:rFonts w:ascii="Proxima Nova" w:eastAsia="Proxima Nova" w:hAnsi="Proxima Nova" w:cs="Proxima Nova"/>
        </w:rPr>
      </w:pPr>
      <w:r>
        <w:rPr>
          <w:rFonts w:ascii="Proxima Nova" w:eastAsia="Proxima Nova" w:hAnsi="Proxima Nova" w:cs="Proxima Nova"/>
        </w:rPr>
        <w:t>removing or significantly reducing the cost of appeals, taking into consideration the far lower fees charged by other European countries</w:t>
      </w:r>
    </w:p>
    <w:p w14:paraId="419B9B6E"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Flexibility should be allowed regarding requirements for supporting documentation, acknowledging the structural barriers that may prevent some applicants from obtaining a business licence, accessing a pension, or demonstrating other financial support</w:t>
      </w:r>
    </w:p>
    <w:p w14:paraId="419B9B6F" w14:textId="77777777" w:rsidR="009A374A" w:rsidRDefault="00446018">
      <w:pPr>
        <w:numPr>
          <w:ilvl w:val="0"/>
          <w:numId w:val="1"/>
        </w:numPr>
        <w:rPr>
          <w:rFonts w:ascii="Proxima Nova" w:eastAsia="Proxima Nova" w:hAnsi="Proxima Nova" w:cs="Proxima Nova"/>
        </w:rPr>
      </w:pPr>
      <w:proofErr w:type="spellStart"/>
      <w:r>
        <w:rPr>
          <w:rFonts w:ascii="Proxima Nova" w:eastAsia="Proxima Nova" w:hAnsi="Proxima Nova" w:cs="Proxima Nova"/>
        </w:rPr>
        <w:t>Evisas</w:t>
      </w:r>
      <w:proofErr w:type="spellEnd"/>
      <w:r>
        <w:rPr>
          <w:rFonts w:ascii="Proxima Nova" w:eastAsia="Proxima Nova" w:hAnsi="Proxima Nova" w:cs="Proxima Nova"/>
        </w:rPr>
        <w:t xml:space="preserve"> should be made available to applicants, to prevent additional costs and loss of travel opportunities due to waiting for physical documentation</w:t>
      </w:r>
    </w:p>
    <w:p w14:paraId="419B9B70"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Anti-discrimination training, covering discrimination on the grounds of gender, race, nationality, class, income, profession (including sex work), language proficiency, sexual orientation, gender identity and sex characteristics, should be provided on a mandatory basis to all staff handling visa applications on behalf of the state party, particularly those having direct contact with applicants</w:t>
      </w:r>
    </w:p>
    <w:p w14:paraId="419B9B71"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Clear reasoning should be provided in the event of a visa rejection</w:t>
      </w:r>
    </w:p>
    <w:p w14:paraId="419B9B72" w14:textId="77777777" w:rsidR="009A374A" w:rsidRDefault="00446018">
      <w:pPr>
        <w:numPr>
          <w:ilvl w:val="0"/>
          <w:numId w:val="1"/>
        </w:numPr>
        <w:rPr>
          <w:rFonts w:ascii="Proxima Nova" w:eastAsia="Proxima Nova" w:hAnsi="Proxima Nova" w:cs="Proxima Nova"/>
        </w:rPr>
      </w:pPr>
      <w:r>
        <w:rPr>
          <w:rFonts w:ascii="Proxima Nova" w:eastAsia="Proxima Nova" w:hAnsi="Proxima Nova" w:cs="Proxima Nova"/>
        </w:rPr>
        <w:t>Clear information should be shared with all visa applicants on how to submit a complaint, together with a guarantee that submission of a complaint will not lead to reprisals in the form of future visa denials.</w:t>
      </w:r>
    </w:p>
    <w:p w14:paraId="34C8B431" w14:textId="77777777" w:rsidR="00385AB3" w:rsidRDefault="00385AB3" w:rsidP="00385AB3">
      <w:pPr>
        <w:rPr>
          <w:rFonts w:ascii="Proxima Nova" w:eastAsia="Proxima Nova" w:hAnsi="Proxima Nova" w:cs="Proxima Nova"/>
        </w:rPr>
      </w:pPr>
    </w:p>
    <w:p w14:paraId="5C7C77C4" w14:textId="77777777" w:rsidR="00385AB3" w:rsidRDefault="00385AB3" w:rsidP="00385AB3">
      <w:pPr>
        <w:rPr>
          <w:rFonts w:ascii="Proxima Nova" w:eastAsia="Proxima Nova" w:hAnsi="Proxima Nova" w:cs="Proxima Nova"/>
        </w:rPr>
      </w:pPr>
    </w:p>
    <w:p w14:paraId="6C756BD6" w14:textId="77777777" w:rsidR="00A11AB8" w:rsidRDefault="00A11AB8" w:rsidP="00385AB3">
      <w:pPr>
        <w:rPr>
          <w:rFonts w:ascii="Proxima Nova" w:eastAsia="Proxima Nova" w:hAnsi="Proxima Nova" w:cs="Proxima Nova"/>
        </w:rPr>
      </w:pPr>
    </w:p>
    <w:p w14:paraId="584C0567" w14:textId="77777777" w:rsidR="00A11AB8" w:rsidRDefault="00A11AB8" w:rsidP="00385AB3">
      <w:pPr>
        <w:rPr>
          <w:rFonts w:ascii="Proxima Nova" w:eastAsia="Proxima Nova" w:hAnsi="Proxima Nova" w:cs="Proxima Nova"/>
        </w:rPr>
      </w:pPr>
    </w:p>
    <w:p w14:paraId="5554EA7E" w14:textId="77777777" w:rsidR="00A11AB8" w:rsidRDefault="00A11AB8" w:rsidP="00385AB3">
      <w:pPr>
        <w:rPr>
          <w:rFonts w:ascii="Proxima Nova" w:eastAsia="Proxima Nova" w:hAnsi="Proxima Nova" w:cs="Proxima Nova"/>
        </w:rPr>
      </w:pPr>
    </w:p>
    <w:p w14:paraId="73E06A6D" w14:textId="77777777" w:rsidR="00A11AB8" w:rsidRDefault="00A11AB8" w:rsidP="00385AB3">
      <w:pPr>
        <w:rPr>
          <w:rFonts w:ascii="Proxima Nova" w:eastAsia="Proxima Nova" w:hAnsi="Proxima Nova" w:cs="Proxima Nova"/>
        </w:rPr>
      </w:pPr>
    </w:p>
    <w:p w14:paraId="0CE6FC3E" w14:textId="77777777" w:rsidR="00A11AB8" w:rsidRDefault="00A11AB8" w:rsidP="00385AB3">
      <w:pPr>
        <w:rPr>
          <w:rFonts w:ascii="Proxima Nova" w:eastAsia="Proxima Nova" w:hAnsi="Proxima Nova" w:cs="Proxima Nova"/>
        </w:rPr>
      </w:pPr>
    </w:p>
    <w:p w14:paraId="64D24066" w14:textId="77777777" w:rsidR="00A11AB8" w:rsidRDefault="00A11AB8" w:rsidP="00385AB3">
      <w:pPr>
        <w:rPr>
          <w:rFonts w:ascii="Proxima Nova" w:eastAsia="Proxima Nova" w:hAnsi="Proxima Nova" w:cs="Proxima Nova"/>
        </w:rPr>
      </w:pPr>
    </w:p>
    <w:p w14:paraId="496D9BD0" w14:textId="77777777" w:rsidR="00A11AB8" w:rsidRDefault="00A11AB8" w:rsidP="00385AB3">
      <w:pPr>
        <w:rPr>
          <w:rFonts w:ascii="Proxima Nova" w:eastAsia="Proxima Nova" w:hAnsi="Proxima Nova" w:cs="Proxima Nova"/>
        </w:rPr>
      </w:pPr>
    </w:p>
    <w:p w14:paraId="3A1687F0" w14:textId="77777777" w:rsidR="00A11AB8" w:rsidRDefault="00A11AB8" w:rsidP="00385AB3">
      <w:pPr>
        <w:rPr>
          <w:rFonts w:ascii="Proxima Nova" w:eastAsia="Proxima Nova" w:hAnsi="Proxima Nova" w:cs="Proxima Nova"/>
        </w:rPr>
      </w:pPr>
    </w:p>
    <w:p w14:paraId="2D707527" w14:textId="77777777" w:rsidR="00A11AB8" w:rsidRDefault="00A11AB8" w:rsidP="00385AB3">
      <w:pPr>
        <w:rPr>
          <w:rFonts w:ascii="Proxima Nova" w:eastAsia="Proxima Nova" w:hAnsi="Proxima Nova" w:cs="Proxima Nova"/>
        </w:rPr>
      </w:pPr>
    </w:p>
    <w:p w14:paraId="33F0FC6B" w14:textId="77777777" w:rsidR="00A11AB8" w:rsidRDefault="00A11AB8" w:rsidP="00385AB3">
      <w:pPr>
        <w:rPr>
          <w:rFonts w:ascii="Proxima Nova" w:eastAsia="Proxima Nova" w:hAnsi="Proxima Nova" w:cs="Proxima Nova"/>
        </w:rPr>
      </w:pPr>
    </w:p>
    <w:p w14:paraId="7515068B" w14:textId="77777777" w:rsidR="00A11AB8" w:rsidRDefault="00A11AB8" w:rsidP="00385AB3">
      <w:pPr>
        <w:rPr>
          <w:rFonts w:ascii="Proxima Nova" w:eastAsia="Proxima Nova" w:hAnsi="Proxima Nova" w:cs="Proxima Nova"/>
        </w:rPr>
      </w:pPr>
    </w:p>
    <w:p w14:paraId="68B12095" w14:textId="77777777" w:rsidR="00A11AB8" w:rsidRDefault="00A11AB8" w:rsidP="00385AB3">
      <w:pPr>
        <w:rPr>
          <w:rFonts w:ascii="Proxima Nova" w:eastAsia="Proxima Nova" w:hAnsi="Proxima Nova" w:cs="Proxima Nova"/>
        </w:rPr>
      </w:pPr>
    </w:p>
    <w:p w14:paraId="0B392827" w14:textId="77777777" w:rsidR="00A11AB8" w:rsidRDefault="00A11AB8" w:rsidP="00385AB3">
      <w:pPr>
        <w:rPr>
          <w:rFonts w:ascii="Proxima Nova" w:eastAsia="Proxima Nova" w:hAnsi="Proxima Nova" w:cs="Proxima Nova"/>
        </w:rPr>
      </w:pPr>
    </w:p>
    <w:p w14:paraId="0B84F746" w14:textId="77777777" w:rsidR="00A11AB8" w:rsidRDefault="00A11AB8" w:rsidP="00385AB3">
      <w:pPr>
        <w:rPr>
          <w:rFonts w:ascii="Proxima Nova" w:eastAsia="Proxima Nova" w:hAnsi="Proxima Nova" w:cs="Proxima Nova"/>
        </w:rPr>
      </w:pPr>
    </w:p>
    <w:p w14:paraId="61A83E85" w14:textId="77777777" w:rsidR="00A11AB8" w:rsidRDefault="00A11AB8" w:rsidP="00385AB3">
      <w:pPr>
        <w:rPr>
          <w:rFonts w:ascii="Proxima Nova" w:eastAsia="Proxima Nova" w:hAnsi="Proxima Nova" w:cs="Proxima Nova"/>
        </w:rPr>
      </w:pPr>
    </w:p>
    <w:p w14:paraId="7DEDE820" w14:textId="77777777" w:rsidR="00A11AB8" w:rsidRDefault="00A11AB8" w:rsidP="00385AB3">
      <w:pPr>
        <w:rPr>
          <w:rFonts w:ascii="Proxima Nova" w:eastAsia="Proxima Nova" w:hAnsi="Proxima Nova" w:cs="Proxima Nova"/>
        </w:rPr>
      </w:pPr>
    </w:p>
    <w:p w14:paraId="08305E84" w14:textId="1B1979D1" w:rsidR="00385AB3" w:rsidRDefault="00A11AB8" w:rsidP="00385AB3">
      <w:pPr>
        <w:rPr>
          <w:rFonts w:ascii="Proxima Nova" w:eastAsia="Proxima Nova" w:hAnsi="Proxima Nova" w:cs="Proxima Nova"/>
        </w:rPr>
      </w:pPr>
      <w:r>
        <w:rPr>
          <w:rFonts w:ascii="Proxima Nova" w:eastAsia="Proxima Nova" w:hAnsi="Proxima Nova" w:cs="Proxima Nova"/>
        </w:rPr>
        <w:t xml:space="preserve">Note: </w:t>
      </w:r>
      <w:r w:rsidR="00385AB3">
        <w:rPr>
          <w:rFonts w:ascii="Proxima Nova" w:eastAsia="Proxima Nova" w:hAnsi="Proxima Nova" w:cs="Proxima Nova"/>
        </w:rPr>
        <w:t xml:space="preserve">An earlier version of this report included a case </w:t>
      </w:r>
      <w:r w:rsidR="00675162">
        <w:rPr>
          <w:rFonts w:ascii="Proxima Nova" w:eastAsia="Proxima Nova" w:hAnsi="Proxima Nova" w:cs="Proxima Nova"/>
        </w:rPr>
        <w:t>under ‘</w:t>
      </w:r>
      <w:r w:rsidR="00675162" w:rsidRPr="00675162">
        <w:rPr>
          <w:rFonts w:ascii="Proxima Nova" w:eastAsia="Proxima Nova" w:hAnsi="Proxima Nova" w:cs="Proxima Nova"/>
        </w:rPr>
        <w:t>Visa barriers to CEDAW participation, 2023-2024</w:t>
      </w:r>
      <w:r w:rsidR="00675162">
        <w:rPr>
          <w:rFonts w:ascii="Proxima Nova" w:eastAsia="Proxima Nova" w:hAnsi="Proxima Nova" w:cs="Proxima Nova"/>
        </w:rPr>
        <w:t xml:space="preserve">’ </w:t>
      </w:r>
      <w:r w:rsidR="00385AB3">
        <w:rPr>
          <w:rFonts w:ascii="Proxima Nova" w:eastAsia="Proxima Nova" w:hAnsi="Proxima Nova" w:cs="Proxima Nova"/>
        </w:rPr>
        <w:t>in which the applicant faced significant hurdles to procuring a visa but was ultimately able to travel to Switzerland for Malawi’s CEDAW review. This case has been removed from th</w:t>
      </w:r>
      <w:r w:rsidR="00B90921">
        <w:rPr>
          <w:rFonts w:ascii="Proxima Nova" w:eastAsia="Proxima Nova" w:hAnsi="Proxima Nova" w:cs="Proxima Nova"/>
        </w:rPr>
        <w:t>is</w:t>
      </w:r>
      <w:r w:rsidR="00385AB3">
        <w:rPr>
          <w:rFonts w:ascii="Proxima Nova" w:eastAsia="Proxima Nova" w:hAnsi="Proxima Nova" w:cs="Proxima Nova"/>
        </w:rPr>
        <w:t xml:space="preserve"> version to focus </w:t>
      </w:r>
      <w:r w:rsidR="00675162">
        <w:rPr>
          <w:rFonts w:ascii="Proxima Nova" w:eastAsia="Proxima Nova" w:hAnsi="Proxima Nova" w:cs="Proxima Nova"/>
        </w:rPr>
        <w:t xml:space="preserve">on cases where applicants were </w:t>
      </w:r>
      <w:r w:rsidR="00921001">
        <w:rPr>
          <w:rFonts w:ascii="Proxima Nova" w:eastAsia="Proxima Nova" w:hAnsi="Proxima Nova" w:cs="Proxima Nova"/>
        </w:rPr>
        <w:t xml:space="preserve">completely </w:t>
      </w:r>
      <w:r w:rsidR="00675162">
        <w:rPr>
          <w:rFonts w:ascii="Proxima Nova" w:eastAsia="Proxima Nova" w:hAnsi="Proxima Nova" w:cs="Proxima Nova"/>
        </w:rPr>
        <w:t>prevented from travelling to Switzerland for their respective reviews.</w:t>
      </w:r>
    </w:p>
    <w:sectPr w:rsidR="00385AB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6663E" w14:textId="77777777" w:rsidR="00E812C2" w:rsidRDefault="00E812C2">
      <w:pPr>
        <w:spacing w:line="240" w:lineRule="auto"/>
      </w:pPr>
      <w:r>
        <w:separator/>
      </w:r>
    </w:p>
  </w:endnote>
  <w:endnote w:type="continuationSeparator" w:id="0">
    <w:p w14:paraId="53EB796C" w14:textId="77777777" w:rsidR="00E812C2" w:rsidRDefault="00E81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C8063AD2-1BCC-4875-8BA0-6458512FA50A}"/>
    <w:embedBold r:id="rId2" w:fontKey="{8FB2FAF3-F1F8-4531-83D4-4D22E645E46D}"/>
    <w:embedItalic r:id="rId3" w:fontKey="{05459449-3D48-4164-B117-9540D34D8803}"/>
  </w:font>
  <w:font w:name="Calibri">
    <w:panose1 w:val="020F0502020204030204"/>
    <w:charset w:val="00"/>
    <w:family w:val="swiss"/>
    <w:pitch w:val="variable"/>
    <w:sig w:usb0="E4002EFF" w:usb1="C000247B" w:usb2="00000009" w:usb3="00000000" w:csb0="000001FF" w:csb1="00000000"/>
    <w:embedRegular r:id="rId4" w:fontKey="{6692BB24-4448-478A-84DE-8599226A1878}"/>
  </w:font>
  <w:font w:name="Cambria">
    <w:panose1 w:val="02040503050406030204"/>
    <w:charset w:val="00"/>
    <w:family w:val="roman"/>
    <w:pitch w:val="variable"/>
    <w:sig w:usb0="E00006FF" w:usb1="420024FF" w:usb2="02000000" w:usb3="00000000" w:csb0="0000019F" w:csb1="00000000"/>
    <w:embedRegular r:id="rId5" w:fontKey="{EA938FE0-5872-42FA-B42B-EBD74C8E1D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17C50" w14:textId="77777777" w:rsidR="00E812C2" w:rsidRDefault="00E812C2">
      <w:pPr>
        <w:spacing w:line="240" w:lineRule="auto"/>
      </w:pPr>
      <w:r>
        <w:separator/>
      </w:r>
    </w:p>
  </w:footnote>
  <w:footnote w:type="continuationSeparator" w:id="0">
    <w:p w14:paraId="56155E23" w14:textId="77777777" w:rsidR="00E812C2" w:rsidRDefault="00E812C2">
      <w:pPr>
        <w:spacing w:line="240" w:lineRule="auto"/>
      </w:pPr>
      <w:r>
        <w:continuationSeparator/>
      </w:r>
    </w:p>
  </w:footnote>
  <w:footnote w:id="1">
    <w:p w14:paraId="419B9B73"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rFonts w:ascii="Proxima Nova" w:eastAsia="Proxima Nova" w:hAnsi="Proxima Nova" w:cs="Proxima Nova"/>
        </w:rPr>
        <w:t xml:space="preserve"> </w:t>
      </w:r>
      <w:r>
        <w:rPr>
          <w:rFonts w:ascii="Proxima Nova" w:eastAsia="Proxima Nova" w:hAnsi="Proxima Nova" w:cs="Proxima Nova"/>
          <w:sz w:val="20"/>
          <w:szCs w:val="20"/>
        </w:rPr>
        <w:t xml:space="preserve">Available at </w:t>
      </w:r>
      <w:hyperlink r:id="rId1">
        <w:r>
          <w:rPr>
            <w:rFonts w:ascii="Proxima Nova" w:eastAsia="Proxima Nova" w:hAnsi="Proxima Nova" w:cs="Proxima Nova"/>
            <w:color w:val="1155CC"/>
            <w:sz w:val="20"/>
            <w:szCs w:val="20"/>
            <w:u w:val="single"/>
          </w:rPr>
          <w:t>https://www.iwraw-ap.org/resources/switzerland-as-gatekeeper-cedaw83-shadow-report/</w:t>
        </w:r>
      </w:hyperlink>
    </w:p>
  </w:footnote>
  <w:footnote w:id="2">
    <w:p w14:paraId="419B9B74"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rFonts w:ascii="Proxima Nova" w:eastAsia="Proxima Nova" w:hAnsi="Proxima Nova" w:cs="Proxima Nova"/>
          <w:sz w:val="20"/>
          <w:szCs w:val="20"/>
        </w:rPr>
        <w:t xml:space="preserve"> Swiss Confederation, “Schengen Visa Fees”, available at</w:t>
      </w:r>
    </w:p>
    <w:p w14:paraId="419B9B75" w14:textId="77777777" w:rsidR="009A374A" w:rsidRDefault="00446018">
      <w:pPr>
        <w:rPr>
          <w:rFonts w:ascii="Proxima Nova" w:eastAsia="Proxima Nova" w:hAnsi="Proxima Nova" w:cs="Proxima Nova"/>
          <w:sz w:val="20"/>
          <w:szCs w:val="20"/>
        </w:rPr>
      </w:pPr>
      <w:hyperlink r:id="rId2">
        <w:r>
          <w:rPr>
            <w:rFonts w:ascii="Proxima Nova" w:eastAsia="Proxima Nova" w:hAnsi="Proxima Nova" w:cs="Proxima Nova"/>
            <w:color w:val="1155CC"/>
            <w:sz w:val="20"/>
            <w:szCs w:val="20"/>
            <w:u w:val="single"/>
          </w:rPr>
          <w:t>https://www.eda.admin.ch/countries/usa/en/home/visa/entry-ch/up-90-days/fees-schengen.html</w:t>
        </w:r>
      </w:hyperlink>
      <w:r>
        <w:rPr>
          <w:rFonts w:ascii="Proxima Nova" w:eastAsia="Proxima Nova" w:hAnsi="Proxima Nova" w:cs="Proxima Nova"/>
          <w:sz w:val="20"/>
          <w:szCs w:val="20"/>
        </w:rPr>
        <w:t xml:space="preserve"> (accessed 3 January 2025).</w:t>
      </w:r>
    </w:p>
  </w:footnote>
  <w:footnote w:id="3">
    <w:p w14:paraId="419B9B76"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sz w:val="20"/>
          <w:szCs w:val="20"/>
        </w:rPr>
        <w:t xml:space="preserve"> </w:t>
      </w:r>
      <w:r>
        <w:rPr>
          <w:rFonts w:ascii="Proxima Nova" w:eastAsia="Proxima Nova" w:hAnsi="Proxima Nova" w:cs="Proxima Nova"/>
          <w:sz w:val="20"/>
          <w:szCs w:val="20"/>
        </w:rPr>
        <w:t xml:space="preserve">State Secretariat for Migration, “FAQ - Entry”, 2.12 “How can I appeal against a visa refusal?”, available at </w:t>
      </w:r>
      <w:hyperlink r:id="rId3" w:anchor="-621080516">
        <w:r>
          <w:rPr>
            <w:rFonts w:ascii="Proxima Nova" w:eastAsia="Proxima Nova" w:hAnsi="Proxima Nova" w:cs="Proxima Nova"/>
            <w:color w:val="1155CC"/>
            <w:sz w:val="20"/>
            <w:szCs w:val="20"/>
            <w:u w:val="single"/>
          </w:rPr>
          <w:t>https://www.sem.admin.ch/sem/en/home/themen/einreise/faq.html#-621080516</w:t>
        </w:r>
      </w:hyperlink>
      <w:r>
        <w:rPr>
          <w:rFonts w:ascii="Proxima Nova" w:eastAsia="Proxima Nova" w:hAnsi="Proxima Nova" w:cs="Proxima Nova"/>
          <w:sz w:val="20"/>
          <w:szCs w:val="20"/>
        </w:rPr>
        <w:t xml:space="preserve"> (accessed 13 January 2025).</w:t>
      </w:r>
    </w:p>
  </w:footnote>
  <w:footnote w:id="4">
    <w:p w14:paraId="419B9B77" w14:textId="77777777" w:rsidR="009A374A" w:rsidRDefault="00446018">
      <w:pPr>
        <w:spacing w:line="240" w:lineRule="auto"/>
        <w:rPr>
          <w:sz w:val="20"/>
          <w:szCs w:val="20"/>
        </w:rPr>
      </w:pPr>
      <w:r>
        <w:rPr>
          <w:vertAlign w:val="superscript"/>
        </w:rPr>
        <w:footnoteRef/>
      </w:r>
      <w:r>
        <w:rPr>
          <w:sz w:val="20"/>
          <w:szCs w:val="20"/>
        </w:rPr>
        <w:t xml:space="preserve"> </w:t>
      </w:r>
      <w:r>
        <w:rPr>
          <w:rFonts w:ascii="Proxima Nova" w:eastAsia="Proxima Nova" w:hAnsi="Proxima Nova" w:cs="Proxima Nova"/>
          <w:sz w:val="20"/>
          <w:szCs w:val="20"/>
        </w:rPr>
        <w:t xml:space="preserve">Kadriu, A. “‘We are in a real ghetto’: Kosovars grow weary of the EU’s isolating visa regime”, 9 February 2023, </w:t>
      </w:r>
      <w:r>
        <w:rPr>
          <w:rFonts w:ascii="Proxima Nova" w:eastAsia="Proxima Nova" w:hAnsi="Proxima Nova" w:cs="Proxima Nova"/>
          <w:i/>
          <w:sz w:val="20"/>
          <w:szCs w:val="20"/>
        </w:rPr>
        <w:t>Kosovo 2.0</w:t>
      </w:r>
      <w:r>
        <w:rPr>
          <w:rFonts w:ascii="Proxima Nova" w:eastAsia="Proxima Nova" w:hAnsi="Proxima Nova" w:cs="Proxima Nova"/>
          <w:sz w:val="20"/>
          <w:szCs w:val="20"/>
        </w:rPr>
        <w:t xml:space="preserve">, available at </w:t>
      </w:r>
      <w:hyperlink r:id="rId4">
        <w:r>
          <w:rPr>
            <w:rFonts w:ascii="Proxima Nova" w:eastAsia="Proxima Nova" w:hAnsi="Proxima Nova" w:cs="Proxima Nova"/>
            <w:color w:val="1155CC"/>
            <w:sz w:val="20"/>
            <w:szCs w:val="20"/>
            <w:u w:val="single"/>
          </w:rPr>
          <w:t>https://kosovotwopointzero.com/en/we-are-in-a-real-ghetto/</w:t>
        </w:r>
      </w:hyperlink>
      <w:r>
        <w:rPr>
          <w:rFonts w:ascii="Proxima Nova" w:eastAsia="Proxima Nova" w:hAnsi="Proxima Nova" w:cs="Proxima Nova"/>
          <w:sz w:val="20"/>
          <w:szCs w:val="20"/>
        </w:rPr>
        <w:t xml:space="preserve"> (accessed 6 January 2025).</w:t>
      </w:r>
    </w:p>
  </w:footnote>
  <w:footnote w:id="5">
    <w:p w14:paraId="419B9B78"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rFonts w:ascii="Proxima Nova" w:eastAsia="Proxima Nova" w:hAnsi="Proxima Nova" w:cs="Proxima Nova"/>
          <w:sz w:val="20"/>
          <w:szCs w:val="20"/>
        </w:rPr>
        <w:t xml:space="preserve"> </w:t>
      </w:r>
      <w:proofErr w:type="spellStart"/>
      <w:r>
        <w:rPr>
          <w:rFonts w:ascii="Proxima Nova" w:eastAsia="Proxima Nova" w:hAnsi="Proxima Nova" w:cs="Proxima Nova"/>
          <w:sz w:val="20"/>
          <w:szCs w:val="20"/>
        </w:rPr>
        <w:t>TLSContact</w:t>
      </w:r>
      <w:proofErr w:type="spellEnd"/>
      <w:r>
        <w:rPr>
          <w:rFonts w:ascii="Proxima Nova" w:eastAsia="Proxima Nova" w:hAnsi="Proxima Nova" w:cs="Proxima Nova"/>
          <w:sz w:val="20"/>
          <w:szCs w:val="20"/>
        </w:rPr>
        <w:t xml:space="preserve">, “Why outsource visa processes?”, 3 February 2020, available at </w:t>
      </w:r>
      <w:hyperlink r:id="rId5">
        <w:r>
          <w:rPr>
            <w:rFonts w:ascii="Proxima Nova" w:eastAsia="Proxima Nova" w:hAnsi="Proxima Nova" w:cs="Proxima Nova"/>
            <w:color w:val="1155CC"/>
            <w:sz w:val="20"/>
            <w:szCs w:val="20"/>
            <w:u w:val="single"/>
          </w:rPr>
          <w:t>https://www.tlscontact.com/en/insights/managing-change/benefits-visa-processes-outsourcing/</w:t>
        </w:r>
      </w:hyperlink>
      <w:r>
        <w:rPr>
          <w:rFonts w:ascii="Proxima Nova" w:eastAsia="Proxima Nova" w:hAnsi="Proxima Nova" w:cs="Proxima Nova"/>
          <w:sz w:val="20"/>
          <w:szCs w:val="20"/>
        </w:rPr>
        <w:t xml:space="preserve"> (accessed 7 January 2025).</w:t>
      </w:r>
    </w:p>
  </w:footnote>
  <w:footnote w:id="6">
    <w:p w14:paraId="419B9B79"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sz w:val="20"/>
          <w:szCs w:val="20"/>
        </w:rPr>
        <w:t xml:space="preserve"> </w:t>
      </w:r>
      <w:r>
        <w:rPr>
          <w:rFonts w:ascii="Proxima Nova" w:eastAsia="Proxima Nova" w:hAnsi="Proxima Nova" w:cs="Proxima Nova"/>
          <w:sz w:val="20"/>
          <w:szCs w:val="20"/>
        </w:rPr>
        <w:t xml:space="preserve">Schengenvisum.info, “Long waiting times at VFS Global for Schengen visa application”, 28 June 2022, available at </w:t>
      </w:r>
      <w:hyperlink r:id="rId6">
        <w:r>
          <w:rPr>
            <w:rFonts w:ascii="Proxima Nova" w:eastAsia="Proxima Nova" w:hAnsi="Proxima Nova" w:cs="Proxima Nova"/>
            <w:color w:val="1155CC"/>
            <w:sz w:val="20"/>
            <w:szCs w:val="20"/>
            <w:u w:val="single"/>
          </w:rPr>
          <w:t>https://schengenvisum.info/en/long-waiting-times-vfs-global-application-for-schengen-visa/</w:t>
        </w:r>
      </w:hyperlink>
      <w:r>
        <w:rPr>
          <w:rFonts w:ascii="Proxima Nova" w:eastAsia="Proxima Nova" w:hAnsi="Proxima Nova" w:cs="Proxima Nova"/>
          <w:sz w:val="20"/>
          <w:szCs w:val="20"/>
        </w:rPr>
        <w:t xml:space="preserve"> (accessed 6 January 2025).</w:t>
      </w:r>
    </w:p>
  </w:footnote>
  <w:footnote w:id="7">
    <w:p w14:paraId="419B9B7A"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rFonts w:ascii="Proxima Nova" w:eastAsia="Proxima Nova" w:hAnsi="Proxima Nova" w:cs="Proxima Nova"/>
          <w:sz w:val="20"/>
          <w:szCs w:val="20"/>
        </w:rPr>
        <w:t xml:space="preserve"> </w:t>
      </w:r>
      <w:proofErr w:type="spellStart"/>
      <w:r>
        <w:rPr>
          <w:rFonts w:ascii="Proxima Nova" w:eastAsia="Proxima Nova" w:hAnsi="Proxima Nova" w:cs="Proxima Nova"/>
          <w:sz w:val="20"/>
          <w:szCs w:val="20"/>
        </w:rPr>
        <w:t>Malekmian</w:t>
      </w:r>
      <w:proofErr w:type="spellEnd"/>
      <w:r>
        <w:rPr>
          <w:rFonts w:ascii="Proxima Nova" w:eastAsia="Proxima Nova" w:hAnsi="Proxima Nova" w:cs="Proxima Nova"/>
          <w:sz w:val="20"/>
          <w:szCs w:val="20"/>
        </w:rPr>
        <w:t xml:space="preserve">, S. “As the Dublin embassies of some European countries outsource Schengen visa services, non-EU immigrants find travelling there harder”, 24 May 2023, </w:t>
      </w:r>
      <w:r>
        <w:rPr>
          <w:rFonts w:ascii="Proxima Nova" w:eastAsia="Proxima Nova" w:hAnsi="Proxima Nova" w:cs="Proxima Nova"/>
          <w:i/>
          <w:sz w:val="20"/>
          <w:szCs w:val="20"/>
        </w:rPr>
        <w:t>Dublin Inquirer</w:t>
      </w:r>
      <w:r>
        <w:rPr>
          <w:rFonts w:ascii="Proxima Nova" w:eastAsia="Proxima Nova" w:hAnsi="Proxima Nova" w:cs="Proxima Nova"/>
          <w:sz w:val="20"/>
          <w:szCs w:val="20"/>
        </w:rPr>
        <w:t xml:space="preserve">, available at </w:t>
      </w:r>
      <w:hyperlink r:id="rId7">
        <w:r>
          <w:rPr>
            <w:rFonts w:ascii="Proxima Nova" w:eastAsia="Proxima Nova" w:hAnsi="Proxima Nova" w:cs="Proxima Nova"/>
            <w:color w:val="1155CC"/>
            <w:sz w:val="20"/>
            <w:szCs w:val="20"/>
            <w:u w:val="single"/>
          </w:rPr>
          <w:t>https://dublininquirer.com/2023/05/24/as-the-dublin-embassies-of-some-european-countries-outsource-schengen-visa-services-non-eu-immigrants-find-travelling-there-harder/</w:t>
        </w:r>
      </w:hyperlink>
      <w:r>
        <w:rPr>
          <w:rFonts w:ascii="Proxima Nova" w:eastAsia="Proxima Nova" w:hAnsi="Proxima Nova" w:cs="Proxima Nova"/>
          <w:sz w:val="20"/>
          <w:szCs w:val="20"/>
        </w:rPr>
        <w:t xml:space="preserve"> (accessed 13 January 2025).</w:t>
      </w:r>
    </w:p>
  </w:footnote>
  <w:footnote w:id="8">
    <w:p w14:paraId="419B9B7B"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sz w:val="20"/>
          <w:szCs w:val="20"/>
        </w:rPr>
        <w:t xml:space="preserve"> </w:t>
      </w:r>
      <w:r>
        <w:rPr>
          <w:rFonts w:ascii="Proxima Nova" w:eastAsia="Proxima Nova" w:hAnsi="Proxima Nova" w:cs="Proxima Nova"/>
          <w:sz w:val="20"/>
          <w:szCs w:val="20"/>
        </w:rPr>
        <w:t>Kadriu, A.</w:t>
      </w:r>
    </w:p>
  </w:footnote>
  <w:footnote w:id="9">
    <w:p w14:paraId="419B9B7C" w14:textId="77777777" w:rsidR="009A374A" w:rsidRDefault="00446018">
      <w:pPr>
        <w:spacing w:line="240" w:lineRule="auto"/>
        <w:rPr>
          <w:rFonts w:ascii="Proxima Nova" w:eastAsia="Proxima Nova" w:hAnsi="Proxima Nova" w:cs="Proxima Nova"/>
          <w:sz w:val="20"/>
          <w:szCs w:val="20"/>
        </w:rPr>
      </w:pPr>
      <w:r>
        <w:rPr>
          <w:vertAlign w:val="superscript"/>
        </w:rPr>
        <w:footnoteRef/>
      </w:r>
      <w:r>
        <w:rPr>
          <w:rFonts w:ascii="Proxima Nova" w:eastAsia="Proxima Nova" w:hAnsi="Proxima Nova" w:cs="Proxima Nova"/>
          <w:sz w:val="20"/>
          <w:szCs w:val="20"/>
        </w:rPr>
        <w:t xml:space="preserve"> Ibid.</w:t>
      </w:r>
    </w:p>
  </w:footnote>
  <w:footnote w:id="10">
    <w:p w14:paraId="419B9B7D" w14:textId="7B5DB976" w:rsidR="009A374A" w:rsidRDefault="00446018">
      <w:pPr>
        <w:spacing w:line="240" w:lineRule="auto"/>
        <w:rPr>
          <w:rFonts w:ascii="Proxima Nova" w:eastAsia="Proxima Nova" w:hAnsi="Proxima Nova" w:cs="Proxima Nova"/>
          <w:sz w:val="20"/>
          <w:szCs w:val="20"/>
        </w:rPr>
      </w:pPr>
      <w:r>
        <w:rPr>
          <w:vertAlign w:val="superscript"/>
        </w:rPr>
        <w:footnoteRef/>
      </w:r>
      <w:r>
        <w:rPr>
          <w:sz w:val="20"/>
          <w:szCs w:val="20"/>
        </w:rPr>
        <w:t xml:space="preserve"> </w:t>
      </w:r>
      <w:proofErr w:type="spellStart"/>
      <w:r>
        <w:rPr>
          <w:rFonts w:ascii="Proxima Nova" w:eastAsia="Proxima Nova" w:hAnsi="Proxima Nova" w:cs="Proxima Nova"/>
          <w:sz w:val="20"/>
          <w:szCs w:val="20"/>
        </w:rPr>
        <w:t>Malekmian</w:t>
      </w:r>
      <w:proofErr w:type="spellEnd"/>
      <w:r w:rsidR="00881F95">
        <w:rPr>
          <w:rFonts w:ascii="Proxima Nova" w:eastAsia="Proxima Nova" w:hAnsi="Proxima Nova" w:cs="Proxima Nova"/>
          <w:sz w:val="20"/>
          <w:szCs w:val="20"/>
        </w:rPr>
        <w:t>, S</w:t>
      </w:r>
      <w:r>
        <w:rPr>
          <w:rFonts w:ascii="Proxima Nova" w:eastAsia="Proxima Nova" w:hAnsi="Proxima Nova" w:cs="Proxima Nova"/>
          <w:sz w:val="20"/>
          <w:szCs w:val="20"/>
        </w:rPr>
        <w:t>.</w:t>
      </w:r>
    </w:p>
  </w:footnote>
  <w:footnote w:id="11">
    <w:p w14:paraId="419B9B7E" w14:textId="64C1DE09" w:rsidR="009A374A" w:rsidRDefault="00446018">
      <w:pPr>
        <w:spacing w:line="240" w:lineRule="auto"/>
        <w:rPr>
          <w:rFonts w:ascii="Proxima Nova" w:eastAsia="Proxima Nova" w:hAnsi="Proxima Nova" w:cs="Proxima Nova"/>
          <w:sz w:val="20"/>
          <w:szCs w:val="20"/>
        </w:rPr>
      </w:pPr>
      <w:r>
        <w:rPr>
          <w:vertAlign w:val="superscript"/>
        </w:rPr>
        <w:footnoteRef/>
      </w:r>
      <w:r>
        <w:rPr>
          <w:sz w:val="20"/>
          <w:szCs w:val="20"/>
        </w:rPr>
        <w:t xml:space="preserve"> </w:t>
      </w:r>
      <w:r>
        <w:rPr>
          <w:rFonts w:ascii="Proxima Nova" w:eastAsia="Proxima Nova" w:hAnsi="Proxima Nova" w:cs="Proxima Nova"/>
          <w:sz w:val="20"/>
          <w:szCs w:val="20"/>
        </w:rPr>
        <w:t>de Silva, H. “Report of the Committee on Public Finance on outsourcing online visa and passport application services between the Consortium and the Department of Immigration and Emigration of Sri Lanka”, 12 July 2024, available at</w:t>
      </w:r>
      <w:r w:rsidR="00922284">
        <w:rPr>
          <w:rFonts w:ascii="Proxima Nova" w:eastAsia="Proxima Nova" w:hAnsi="Proxima Nova" w:cs="Proxima Nova"/>
          <w:sz w:val="20"/>
          <w:szCs w:val="20"/>
        </w:rPr>
        <w:t xml:space="preserve"> </w:t>
      </w:r>
      <w:hyperlink r:id="rId8" w:anchor="page=1" w:history="1">
        <w:r w:rsidR="00922284" w:rsidRPr="008B3BA3">
          <w:rPr>
            <w:rStyle w:val="Hyperlink"/>
            <w:rFonts w:ascii="Proxima Nova" w:eastAsia="Proxima Nova" w:hAnsi="Proxima Nova" w:cs="Proxima Nova"/>
            <w:sz w:val="20"/>
            <w:szCs w:val="20"/>
          </w:rPr>
          <w:t>https://www.parliament.lk/uploads/comreports/1720771221058053.pdf#page=1</w:t>
        </w:r>
      </w:hyperlink>
      <w:r>
        <w:rPr>
          <w:rFonts w:ascii="Proxima Nova" w:eastAsia="Proxima Nova" w:hAnsi="Proxima Nova" w:cs="Proxima Nova"/>
          <w:sz w:val="20"/>
          <w:szCs w:val="20"/>
        </w:rPr>
        <w:t xml:space="preserve"> (accessed 7 January 2025).</w:t>
      </w:r>
    </w:p>
  </w:footnote>
  <w:footnote w:id="12">
    <w:p w14:paraId="419B9B7F" w14:textId="33D1F078" w:rsidR="009A374A" w:rsidRDefault="00446018">
      <w:pPr>
        <w:spacing w:line="240" w:lineRule="auto"/>
        <w:rPr>
          <w:rFonts w:ascii="Proxima Nova" w:eastAsia="Proxima Nova" w:hAnsi="Proxima Nova" w:cs="Proxima Nova"/>
          <w:sz w:val="20"/>
          <w:szCs w:val="20"/>
        </w:rPr>
      </w:pPr>
      <w:r>
        <w:rPr>
          <w:vertAlign w:val="superscript"/>
        </w:rPr>
        <w:footnoteRef/>
      </w:r>
      <w:r>
        <w:rPr>
          <w:sz w:val="20"/>
          <w:szCs w:val="20"/>
        </w:rPr>
        <w:t xml:space="preserve"> </w:t>
      </w:r>
      <w:proofErr w:type="spellStart"/>
      <w:r>
        <w:rPr>
          <w:rFonts w:ascii="Proxima Nova" w:eastAsia="Proxima Nova" w:hAnsi="Proxima Nova" w:cs="Proxima Nova"/>
          <w:sz w:val="20"/>
          <w:szCs w:val="20"/>
        </w:rPr>
        <w:t>Malekmian</w:t>
      </w:r>
      <w:proofErr w:type="spellEnd"/>
      <w:r w:rsidR="00881F95">
        <w:rPr>
          <w:rFonts w:ascii="Proxima Nova" w:eastAsia="Proxima Nova" w:hAnsi="Proxima Nova" w:cs="Proxima Nova"/>
          <w:sz w:val="20"/>
          <w:szCs w:val="20"/>
        </w:rPr>
        <w:t>, S</w:t>
      </w:r>
      <w:r>
        <w:rPr>
          <w:rFonts w:ascii="Proxima Nova" w:eastAsia="Proxima Nova" w:hAnsi="Proxima Nova" w:cs="Proxima Nova"/>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4148B"/>
    <w:multiLevelType w:val="multilevel"/>
    <w:tmpl w:val="836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6364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74A"/>
    <w:rsid w:val="000573AC"/>
    <w:rsid w:val="000919A9"/>
    <w:rsid w:val="00136C30"/>
    <w:rsid w:val="00147157"/>
    <w:rsid w:val="001F39FB"/>
    <w:rsid w:val="00265A56"/>
    <w:rsid w:val="002B3D92"/>
    <w:rsid w:val="00340CDD"/>
    <w:rsid w:val="00362365"/>
    <w:rsid w:val="00365830"/>
    <w:rsid w:val="00371D46"/>
    <w:rsid w:val="00385AB3"/>
    <w:rsid w:val="003A6E48"/>
    <w:rsid w:val="003B6140"/>
    <w:rsid w:val="00427041"/>
    <w:rsid w:val="00446018"/>
    <w:rsid w:val="00457B74"/>
    <w:rsid w:val="004A53A9"/>
    <w:rsid w:val="004B53B5"/>
    <w:rsid w:val="004D7DE4"/>
    <w:rsid w:val="00571D9A"/>
    <w:rsid w:val="006075F7"/>
    <w:rsid w:val="00675162"/>
    <w:rsid w:val="006B3F80"/>
    <w:rsid w:val="0075049F"/>
    <w:rsid w:val="00786BCD"/>
    <w:rsid w:val="00843AD4"/>
    <w:rsid w:val="00852206"/>
    <w:rsid w:val="00881F95"/>
    <w:rsid w:val="008F372B"/>
    <w:rsid w:val="00921001"/>
    <w:rsid w:val="00922284"/>
    <w:rsid w:val="009255B4"/>
    <w:rsid w:val="0098227A"/>
    <w:rsid w:val="009A374A"/>
    <w:rsid w:val="00A0189A"/>
    <w:rsid w:val="00A11AB8"/>
    <w:rsid w:val="00B90921"/>
    <w:rsid w:val="00BA670F"/>
    <w:rsid w:val="00C27D8B"/>
    <w:rsid w:val="00C43E3A"/>
    <w:rsid w:val="00D03032"/>
    <w:rsid w:val="00D415E7"/>
    <w:rsid w:val="00E812C2"/>
    <w:rsid w:val="00F35D55"/>
    <w:rsid w:val="00F931F9"/>
    <w:rsid w:val="00F9738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B9AF3"/>
  <w15:docId w15:val="{59D4D32F-58F5-4EFC-A8DA-E8EDFB9BF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22284"/>
    <w:rPr>
      <w:color w:val="0000FF" w:themeColor="hyperlink"/>
      <w:u w:val="single"/>
    </w:rPr>
  </w:style>
  <w:style w:type="character" w:styleId="UnresolvedMention">
    <w:name w:val="Unresolved Mention"/>
    <w:basedOn w:val="DefaultParagraphFont"/>
    <w:uiPriority w:val="99"/>
    <w:semiHidden/>
    <w:unhideWhenUsed/>
    <w:rsid w:val="00922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209330">
      <w:bodyDiv w:val="1"/>
      <w:marLeft w:val="0"/>
      <w:marRight w:val="0"/>
      <w:marTop w:val="0"/>
      <w:marBottom w:val="0"/>
      <w:divBdr>
        <w:top w:val="none" w:sz="0" w:space="0" w:color="auto"/>
        <w:left w:val="none" w:sz="0" w:space="0" w:color="auto"/>
        <w:bottom w:val="none" w:sz="0" w:space="0" w:color="auto"/>
        <w:right w:val="none" w:sz="0" w:space="0" w:color="auto"/>
      </w:divBdr>
      <w:divsChild>
        <w:div w:id="1361055058">
          <w:marLeft w:val="0"/>
          <w:marRight w:val="0"/>
          <w:marTop w:val="0"/>
          <w:marBottom w:val="0"/>
          <w:divBdr>
            <w:top w:val="none" w:sz="0" w:space="0" w:color="auto"/>
            <w:left w:val="none" w:sz="0" w:space="0" w:color="auto"/>
            <w:bottom w:val="none" w:sz="0" w:space="0" w:color="auto"/>
            <w:right w:val="none" w:sz="0" w:space="0" w:color="auto"/>
          </w:divBdr>
        </w:div>
      </w:divsChild>
    </w:div>
    <w:div w:id="716128286">
      <w:bodyDiv w:val="1"/>
      <w:marLeft w:val="0"/>
      <w:marRight w:val="0"/>
      <w:marTop w:val="0"/>
      <w:marBottom w:val="0"/>
      <w:divBdr>
        <w:top w:val="none" w:sz="0" w:space="0" w:color="auto"/>
        <w:left w:val="none" w:sz="0" w:space="0" w:color="auto"/>
        <w:bottom w:val="none" w:sz="0" w:space="0" w:color="auto"/>
        <w:right w:val="none" w:sz="0" w:space="0" w:color="auto"/>
      </w:divBdr>
      <w:divsChild>
        <w:div w:id="13761568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lk/uploads/comreports/1720771221058053.pdf" TargetMode="External"/><Relationship Id="rId3" Type="http://schemas.openxmlformats.org/officeDocument/2006/relationships/hyperlink" Target="https://www.sem.admin.ch/sem/en/home/themen/einreise/faq.html" TargetMode="External"/><Relationship Id="rId7" Type="http://schemas.openxmlformats.org/officeDocument/2006/relationships/hyperlink" Target="https://dublininquirer.com/2023/05/24/as-the-dublin-embassies-of-some-european-countries-outsource-schengen-visa-services-non-eu-immigrants-find-travelling-there-harder/" TargetMode="External"/><Relationship Id="rId2" Type="http://schemas.openxmlformats.org/officeDocument/2006/relationships/hyperlink" Target="https://www.eda.admin.ch/countries/usa/en/home/visa/entry-ch/up-90-days/fees-schengen.html" TargetMode="External"/><Relationship Id="rId1" Type="http://schemas.openxmlformats.org/officeDocument/2006/relationships/hyperlink" Target="https://www.iwraw-ap.org/resources/switzerland-as-gatekeeper-cedaw83-shadow-report/" TargetMode="External"/><Relationship Id="rId6" Type="http://schemas.openxmlformats.org/officeDocument/2006/relationships/hyperlink" Target="https://schengenvisum.info/en/long-waiting-times-vfs-global-application-for-schengen-visa/" TargetMode="External"/><Relationship Id="rId5" Type="http://schemas.openxmlformats.org/officeDocument/2006/relationships/hyperlink" Target="https://www.tlscontact.com/en/insights/managing-change/benefits-visa-processes-outsourcing/" TargetMode="External"/><Relationship Id="rId4" Type="http://schemas.openxmlformats.org/officeDocument/2006/relationships/hyperlink" Target="https://kosovotwopointzero.com/en/we-are-in-a-real-ghet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7</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Program 2 IWRAW AP</cp:lastModifiedBy>
  <cp:revision>5</cp:revision>
  <cp:lastPrinted>2025-02-12T01:58:00Z</cp:lastPrinted>
  <dcterms:created xsi:type="dcterms:W3CDTF">2025-02-12T01:58:00Z</dcterms:created>
  <dcterms:modified xsi:type="dcterms:W3CDTF">2025-02-12T09:03:00Z</dcterms:modified>
</cp:coreProperties>
</file>